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0703F" w14:textId="77777777" w:rsidR="007D6A79" w:rsidRPr="005C031D" w:rsidRDefault="00BE1C2C" w:rsidP="00BE1C2C">
      <w:pPr>
        <w:spacing w:beforeLines="40" w:before="96" w:afterLines="40" w:after="96"/>
        <w:ind w:right="894"/>
        <w:jc w:val="center"/>
        <w:rPr>
          <w:b/>
        </w:rPr>
      </w:pPr>
      <w:r>
        <w:rPr>
          <w:b/>
        </w:rPr>
        <w:t>Guidance notes on Choice of Comparators</w:t>
      </w:r>
    </w:p>
    <w:p w14:paraId="64EF08F6" w14:textId="77777777" w:rsidR="0021723C" w:rsidRPr="005C031D" w:rsidRDefault="005C031D" w:rsidP="005C031D">
      <w:pPr>
        <w:numPr>
          <w:ilvl w:val="0"/>
          <w:numId w:val="1"/>
        </w:numPr>
        <w:spacing w:beforeLines="40" w:before="96" w:afterLines="40" w:after="96"/>
        <w:ind w:right="894"/>
        <w:rPr>
          <w:szCs w:val="20"/>
        </w:rPr>
      </w:pPr>
      <w:r w:rsidRPr="005C031D">
        <w:rPr>
          <w:bCs/>
          <w:szCs w:val="20"/>
          <w:lang w:eastAsia="en-US"/>
        </w:rPr>
        <w:t>Purpose to</w:t>
      </w:r>
      <w:r w:rsidR="0021723C" w:rsidRPr="005C031D">
        <w:rPr>
          <w:szCs w:val="20"/>
        </w:rPr>
        <w:t>:</w:t>
      </w:r>
    </w:p>
    <w:p w14:paraId="4137AABF" w14:textId="77777777" w:rsidR="007D6A79" w:rsidRPr="00563B2C" w:rsidRDefault="0021723C" w:rsidP="005C031D">
      <w:pPr>
        <w:numPr>
          <w:ilvl w:val="1"/>
          <w:numId w:val="1"/>
        </w:numPr>
        <w:spacing w:beforeLines="40" w:before="96" w:afterLines="40" w:after="96"/>
        <w:ind w:right="894"/>
        <w:rPr>
          <w:szCs w:val="20"/>
        </w:rPr>
      </w:pPr>
      <w:r w:rsidRPr="00563B2C">
        <w:rPr>
          <w:szCs w:val="20"/>
        </w:rPr>
        <w:t xml:space="preserve">Clarify that it is the sole responsibility of the </w:t>
      </w:r>
      <w:r w:rsidR="00E30F4C" w:rsidRPr="00563B2C">
        <w:rPr>
          <w:szCs w:val="20"/>
        </w:rPr>
        <w:t>A</w:t>
      </w:r>
      <w:r w:rsidR="004C73B5">
        <w:rPr>
          <w:szCs w:val="20"/>
        </w:rPr>
        <w:t>pproved</w:t>
      </w:r>
      <w:r w:rsidR="00E30F4C" w:rsidRPr="00563B2C">
        <w:rPr>
          <w:szCs w:val="20"/>
        </w:rPr>
        <w:t xml:space="preserve"> Person (aka </w:t>
      </w:r>
      <w:r w:rsidR="004C73B5">
        <w:rPr>
          <w:szCs w:val="20"/>
        </w:rPr>
        <w:t xml:space="preserve">accredited </w:t>
      </w:r>
      <w:r w:rsidR="00E30F4C" w:rsidRPr="00563B2C">
        <w:rPr>
          <w:szCs w:val="20"/>
        </w:rPr>
        <w:t>Qualified Person, “</w:t>
      </w:r>
      <w:r w:rsidRPr="00563B2C">
        <w:rPr>
          <w:szCs w:val="20"/>
        </w:rPr>
        <w:t>QP</w:t>
      </w:r>
      <w:r w:rsidR="00E30F4C" w:rsidRPr="00563B2C">
        <w:rPr>
          <w:szCs w:val="20"/>
        </w:rPr>
        <w:t>”)</w:t>
      </w:r>
      <w:r w:rsidRPr="00563B2C">
        <w:rPr>
          <w:szCs w:val="20"/>
        </w:rPr>
        <w:t xml:space="preserve"> to choose the comparators for inclusion in the comparative growing trial (or when an overseas test report is used to prepare the detailed description, to choose and include relevant comparator varieties in that description)</w:t>
      </w:r>
      <w:r w:rsidR="004C73B5">
        <w:rPr>
          <w:szCs w:val="20"/>
        </w:rPr>
        <w:t>, in accordance with their responsibilities in subsections 26, 34 and 37</w:t>
      </w:r>
      <w:r w:rsidR="00B6623C">
        <w:rPr>
          <w:szCs w:val="20"/>
        </w:rPr>
        <w:t xml:space="preserve"> of the PBR Act</w:t>
      </w:r>
      <w:r w:rsidR="004C73B5">
        <w:rPr>
          <w:szCs w:val="20"/>
        </w:rPr>
        <w:t>.</w:t>
      </w:r>
    </w:p>
    <w:p w14:paraId="0F9E3203" w14:textId="77777777" w:rsidR="00A373A6" w:rsidRPr="00563B2C" w:rsidRDefault="00A373A6" w:rsidP="005C031D">
      <w:pPr>
        <w:numPr>
          <w:ilvl w:val="2"/>
          <w:numId w:val="1"/>
        </w:numPr>
        <w:spacing w:beforeLines="40" w:before="96" w:afterLines="40" w:after="96"/>
        <w:ind w:right="894"/>
      </w:pPr>
      <w:r w:rsidRPr="00563B2C">
        <w:t xml:space="preserve">Subject to an examination of the detailed description for consistency (see </w:t>
      </w:r>
      <w:r w:rsidRPr="00563B2C">
        <w:fldChar w:fldCharType="begin"/>
      </w:r>
      <w:r w:rsidRPr="00563B2C">
        <w:instrText xml:space="preserve"> REF _Ref298582461 \r \h </w:instrText>
      </w:r>
      <w:r w:rsidR="00E30F4C" w:rsidRPr="00563B2C">
        <w:instrText xml:space="preserve"> \* MERGEFORMAT </w:instrText>
      </w:r>
      <w:r w:rsidRPr="00563B2C">
        <w:fldChar w:fldCharType="separate"/>
      </w:r>
      <w:r w:rsidR="00215F98">
        <w:t>4.2.1</w:t>
      </w:r>
      <w:r w:rsidRPr="00563B2C">
        <w:fldChar w:fldCharType="end"/>
      </w:r>
      <w:r w:rsidRPr="00563B2C">
        <w:t>) the validity of the QP’s choice of comparators is dealt with through the objection (s35) and revocation process (s50).</w:t>
      </w:r>
    </w:p>
    <w:p w14:paraId="42F161A6" w14:textId="77777777" w:rsidR="0023723A" w:rsidRPr="00563B2C" w:rsidRDefault="0021723C" w:rsidP="005C031D">
      <w:pPr>
        <w:numPr>
          <w:ilvl w:val="1"/>
          <w:numId w:val="1"/>
        </w:numPr>
        <w:spacing w:beforeLines="40" w:before="96" w:afterLines="40" w:after="96"/>
        <w:ind w:right="894"/>
        <w:rPr>
          <w:szCs w:val="20"/>
        </w:rPr>
      </w:pPr>
      <w:r w:rsidRPr="00563B2C">
        <w:t>Provide guidance as to the selection of suitable comparator varieties.</w:t>
      </w:r>
    </w:p>
    <w:p w14:paraId="413BFEDD" w14:textId="77777777" w:rsidR="0023723A" w:rsidRPr="00563B2C" w:rsidRDefault="0023723A" w:rsidP="005C031D">
      <w:pPr>
        <w:spacing w:beforeLines="40" w:before="96" w:afterLines="40" w:after="96"/>
        <w:ind w:left="360" w:right="894"/>
        <w:rPr>
          <w:szCs w:val="20"/>
        </w:rPr>
      </w:pPr>
    </w:p>
    <w:p w14:paraId="35AD2ACB" w14:textId="77777777" w:rsidR="0023723A" w:rsidRPr="00563B2C" w:rsidRDefault="0021723C" w:rsidP="005C031D">
      <w:pPr>
        <w:numPr>
          <w:ilvl w:val="0"/>
          <w:numId w:val="1"/>
        </w:numPr>
        <w:spacing w:beforeLines="40" w:before="96" w:afterLines="40" w:after="96"/>
        <w:ind w:right="894"/>
        <w:rPr>
          <w:b/>
          <w:szCs w:val="20"/>
        </w:rPr>
      </w:pPr>
      <w:r w:rsidRPr="00563B2C">
        <w:rPr>
          <w:b/>
        </w:rPr>
        <w:t>Choice of comparator varieties</w:t>
      </w:r>
    </w:p>
    <w:p w14:paraId="4F4F84AA" w14:textId="77777777" w:rsidR="0023723A" w:rsidRPr="00595EA3" w:rsidRDefault="0021723C" w:rsidP="005C031D">
      <w:pPr>
        <w:numPr>
          <w:ilvl w:val="1"/>
          <w:numId w:val="1"/>
        </w:numPr>
        <w:spacing w:beforeLines="40" w:before="96" w:afterLines="40" w:after="96"/>
        <w:ind w:right="894"/>
        <w:rPr>
          <w:color w:val="000000"/>
          <w:szCs w:val="20"/>
        </w:rPr>
      </w:pPr>
      <w:r w:rsidRPr="00595EA3">
        <w:rPr>
          <w:color w:val="000000"/>
          <w:szCs w:val="20"/>
        </w:rPr>
        <w:t xml:space="preserve">What </w:t>
      </w:r>
      <w:proofErr w:type="gramStart"/>
      <w:r w:rsidRPr="00595EA3">
        <w:rPr>
          <w:color w:val="000000"/>
          <w:szCs w:val="20"/>
        </w:rPr>
        <w:t>are</w:t>
      </w:r>
      <w:proofErr w:type="gramEnd"/>
      <w:r w:rsidRPr="00595EA3">
        <w:rPr>
          <w:color w:val="000000"/>
          <w:szCs w:val="20"/>
        </w:rPr>
        <w:t xml:space="preserve"> comparator varieties</w:t>
      </w:r>
    </w:p>
    <w:p w14:paraId="38A13C35" w14:textId="77777777" w:rsidR="00CA1AFC" w:rsidRPr="00595EA3" w:rsidRDefault="00CA1AFC" w:rsidP="005C031D">
      <w:pPr>
        <w:numPr>
          <w:ilvl w:val="2"/>
          <w:numId w:val="1"/>
        </w:numPr>
        <w:spacing w:beforeLines="40" w:before="96" w:afterLines="40" w:after="96"/>
        <w:ind w:right="894"/>
        <w:rPr>
          <w:color w:val="000000"/>
          <w:szCs w:val="20"/>
        </w:rPr>
      </w:pPr>
      <w:r w:rsidRPr="00595EA3">
        <w:rPr>
          <w:color w:val="000000"/>
          <w:szCs w:val="20"/>
        </w:rPr>
        <w:t xml:space="preserve">Comparator varieties are those against which the candidate variety needs to be compared and found clearly distinguishable. Comparator varieties are drawn from the pool of varieties </w:t>
      </w:r>
      <w:r w:rsidR="00595EA3" w:rsidRPr="00595EA3">
        <w:rPr>
          <w:color w:val="000000"/>
          <w:szCs w:val="20"/>
        </w:rPr>
        <w:t xml:space="preserve">whose existence is a matter of common knowledge at the time of the application. These varieties are referred to as varieties of common knowledge (VCK). </w:t>
      </w:r>
    </w:p>
    <w:p w14:paraId="1C8F9DEA" w14:textId="77777777" w:rsidR="0023723A" w:rsidRPr="00563B2C" w:rsidRDefault="0023723A" w:rsidP="005C031D">
      <w:pPr>
        <w:numPr>
          <w:ilvl w:val="1"/>
          <w:numId w:val="1"/>
        </w:numPr>
        <w:spacing w:beforeLines="40" w:before="96" w:afterLines="40" w:after="96"/>
        <w:ind w:right="894"/>
      </w:pPr>
      <w:r w:rsidRPr="00563B2C">
        <w:rPr>
          <w:szCs w:val="20"/>
        </w:rPr>
        <w:t xml:space="preserve">Who is responsible for their </w:t>
      </w:r>
      <w:proofErr w:type="gramStart"/>
      <w:r w:rsidRPr="00563B2C">
        <w:rPr>
          <w:szCs w:val="20"/>
        </w:rPr>
        <w:t>choice</w:t>
      </w:r>
      <w:proofErr w:type="gramEnd"/>
    </w:p>
    <w:p w14:paraId="4CA9D99F" w14:textId="77777777" w:rsidR="00E50E38" w:rsidRPr="00563B2C" w:rsidRDefault="00963BCB" w:rsidP="005C031D">
      <w:pPr>
        <w:numPr>
          <w:ilvl w:val="2"/>
          <w:numId w:val="1"/>
        </w:numPr>
        <w:spacing w:beforeLines="40" w:before="96" w:afterLines="40" w:after="96"/>
        <w:ind w:right="894"/>
      </w:pPr>
      <w:r w:rsidRPr="00563B2C">
        <w:rPr>
          <w:szCs w:val="20"/>
        </w:rPr>
        <w:t xml:space="preserve">The QP </w:t>
      </w:r>
      <w:r w:rsidR="00814F8F" w:rsidRPr="00563B2C">
        <w:rPr>
          <w:szCs w:val="20"/>
        </w:rPr>
        <w:t xml:space="preserve">nominated for the application </w:t>
      </w:r>
      <w:r w:rsidRPr="00592CDD">
        <w:rPr>
          <w:szCs w:val="20"/>
        </w:rPr>
        <w:t xml:space="preserve">has </w:t>
      </w:r>
      <w:r w:rsidR="00E50E38" w:rsidRPr="00592CDD">
        <w:rPr>
          <w:szCs w:val="20"/>
        </w:rPr>
        <w:t>sole responsibility</w:t>
      </w:r>
      <w:r w:rsidR="00E50E38" w:rsidRPr="00563B2C">
        <w:rPr>
          <w:szCs w:val="20"/>
        </w:rPr>
        <w:t xml:space="preserve"> to identify and include the most similar varieties of common knowledge in the comparative growing trial</w:t>
      </w:r>
      <w:r w:rsidRPr="00563B2C">
        <w:rPr>
          <w:szCs w:val="20"/>
        </w:rPr>
        <w:t>.</w:t>
      </w:r>
    </w:p>
    <w:p w14:paraId="2B0E8AC5" w14:textId="77777777" w:rsidR="00ED3C6A" w:rsidRPr="00563B2C" w:rsidRDefault="00ED3C6A" w:rsidP="005C031D">
      <w:pPr>
        <w:numPr>
          <w:ilvl w:val="4"/>
          <w:numId w:val="9"/>
        </w:numPr>
        <w:spacing w:beforeLines="40" w:before="96" w:afterLines="40" w:after="96"/>
        <w:ind w:right="894"/>
      </w:pPr>
      <w:r w:rsidRPr="00563B2C">
        <w:t xml:space="preserve">This practice and procedure </w:t>
      </w:r>
      <w:proofErr w:type="gramStart"/>
      <w:r w:rsidRPr="00563B2C">
        <w:t>is</w:t>
      </w:r>
      <w:proofErr w:type="gramEnd"/>
      <w:r w:rsidRPr="00563B2C">
        <w:t xml:space="preserve"> made clear in TGP/6 Arrangements for DUS Testing, which relevantly states:</w:t>
      </w:r>
    </w:p>
    <w:p w14:paraId="67EE7185" w14:textId="77777777" w:rsidR="00ED3C6A" w:rsidRPr="00563B2C" w:rsidRDefault="00ED3C6A" w:rsidP="005C031D">
      <w:pPr>
        <w:autoSpaceDE w:val="0"/>
        <w:autoSpaceDN w:val="0"/>
        <w:adjustRightInd w:val="0"/>
        <w:ind w:left="2160" w:right="894"/>
        <w:rPr>
          <w:rFonts w:eastAsia="MS Mincho"/>
          <w:lang w:eastAsia="ja-JP"/>
        </w:rPr>
      </w:pPr>
      <w:r w:rsidRPr="00563B2C">
        <w:rPr>
          <w:rFonts w:eastAsia="MS Mincho"/>
          <w:lang w:eastAsia="ja-JP"/>
        </w:rPr>
        <w:t xml:space="preserve">“DUS Testing in </w:t>
      </w:r>
      <w:smartTag w:uri="urn:schemas-microsoft-com:office:smarttags" w:element="place">
        <w:smartTag w:uri="urn:schemas-microsoft-com:office:smarttags" w:element="country-region">
          <w:r w:rsidRPr="00563B2C">
            <w:rPr>
              <w:rFonts w:eastAsia="MS Mincho"/>
              <w:lang w:eastAsia="ja-JP"/>
            </w:rPr>
            <w:t>Australia</w:t>
          </w:r>
        </w:smartTag>
      </w:smartTag>
    </w:p>
    <w:p w14:paraId="4185DFDF" w14:textId="77777777" w:rsidR="00ED3C6A" w:rsidRPr="00563B2C" w:rsidRDefault="00ED3C6A" w:rsidP="005C031D">
      <w:pPr>
        <w:autoSpaceDE w:val="0"/>
        <w:autoSpaceDN w:val="0"/>
        <w:adjustRightInd w:val="0"/>
        <w:ind w:left="2160" w:right="894"/>
      </w:pPr>
      <w:r w:rsidRPr="00563B2C">
        <w:rPr>
          <w:rFonts w:eastAsia="MS Mincho"/>
          <w:lang w:eastAsia="ja-JP"/>
        </w:rPr>
        <w:t>[..] 1.9 The comparative trial must conform to the usual scientific standards and use UPOV Test Guidelines where they are available. The applicant or their adviser designs the trial, including the selection of comparator varieties, collects and analyses the data, documents in words and photographs the distinguishing features of the variety and rebuts any comments or objections.”</w:t>
      </w:r>
    </w:p>
    <w:p w14:paraId="47EA3EB6" w14:textId="77777777" w:rsidR="00C76D6A" w:rsidRPr="00563B2C" w:rsidRDefault="00E50E38" w:rsidP="005C031D">
      <w:pPr>
        <w:numPr>
          <w:ilvl w:val="3"/>
          <w:numId w:val="1"/>
        </w:numPr>
        <w:spacing w:beforeLines="40" w:before="96" w:afterLines="40" w:after="96"/>
        <w:ind w:right="894"/>
      </w:pPr>
      <w:r w:rsidRPr="00563B2C">
        <w:rPr>
          <w:szCs w:val="20"/>
        </w:rPr>
        <w:t xml:space="preserve"> </w:t>
      </w:r>
      <w:r w:rsidRPr="00563B2C">
        <w:t xml:space="preserve">QPs are alerted to this responsibility, including by way of: </w:t>
      </w:r>
    </w:p>
    <w:p w14:paraId="007497A6" w14:textId="77777777" w:rsidR="00705636" w:rsidRPr="00563B2C" w:rsidRDefault="00963BCB" w:rsidP="005C031D">
      <w:pPr>
        <w:numPr>
          <w:ilvl w:val="4"/>
          <w:numId w:val="4"/>
        </w:numPr>
        <w:spacing w:beforeLines="40" w:before="96" w:afterLines="40" w:after="96"/>
        <w:ind w:right="894"/>
      </w:pPr>
      <w:r w:rsidRPr="00563B2C">
        <w:t>instructions relating to applying for accreditation as a QP</w:t>
      </w:r>
      <w:r w:rsidR="00705636" w:rsidRPr="00563B2C">
        <w:t xml:space="preserve">. </w:t>
      </w:r>
    </w:p>
    <w:p w14:paraId="13EA7261" w14:textId="77777777" w:rsidR="00C76D6A" w:rsidRPr="00563B2C" w:rsidRDefault="00705636" w:rsidP="005C031D">
      <w:pPr>
        <w:numPr>
          <w:ilvl w:val="5"/>
          <w:numId w:val="6"/>
        </w:numPr>
        <w:spacing w:beforeLines="40" w:before="96" w:afterLines="40" w:after="96"/>
        <w:ind w:right="894"/>
      </w:pPr>
      <w:r w:rsidRPr="00563B2C">
        <w:t xml:space="preserve">QPs apply for accreditation based on their claims of qualifications and experience in relation to one or more species.  This includes knowledge of relevant varieties of common knowledge. </w:t>
      </w:r>
    </w:p>
    <w:p w14:paraId="2432BA20" w14:textId="77777777" w:rsidR="00C76D6A" w:rsidRPr="00563B2C" w:rsidRDefault="00E50E38" w:rsidP="005C031D">
      <w:pPr>
        <w:numPr>
          <w:ilvl w:val="4"/>
          <w:numId w:val="4"/>
        </w:numPr>
        <w:spacing w:beforeLines="40" w:before="96" w:afterLines="40" w:after="96"/>
        <w:ind w:right="894"/>
      </w:pPr>
      <w:r w:rsidRPr="00563B2C">
        <w:t>the letter accrediting the</w:t>
      </w:r>
      <w:r w:rsidR="00C76D6A" w:rsidRPr="00563B2C">
        <w:t>m</w:t>
      </w:r>
      <w:r w:rsidRPr="00563B2C">
        <w:t xml:space="preserve"> as a </w:t>
      </w:r>
      <w:proofErr w:type="gramStart"/>
      <w:r w:rsidRPr="00563B2C">
        <w:t>QP;</w:t>
      </w:r>
      <w:proofErr w:type="gramEnd"/>
      <w:r w:rsidRPr="00563B2C">
        <w:t xml:space="preserve"> </w:t>
      </w:r>
    </w:p>
    <w:p w14:paraId="491B1628" w14:textId="77777777" w:rsidR="00C76D6A" w:rsidRPr="00563B2C" w:rsidRDefault="00963BCB" w:rsidP="005C031D">
      <w:pPr>
        <w:numPr>
          <w:ilvl w:val="4"/>
          <w:numId w:val="4"/>
        </w:numPr>
        <w:spacing w:beforeLines="40" w:before="96" w:afterLines="40" w:after="96"/>
        <w:ind w:right="894"/>
      </w:pPr>
      <w:r w:rsidRPr="00563B2C">
        <w:t xml:space="preserve">the letter notifying that the application for PBR has been </w:t>
      </w:r>
      <w:proofErr w:type="gramStart"/>
      <w:r w:rsidRPr="00563B2C">
        <w:t>accepted;</w:t>
      </w:r>
      <w:proofErr w:type="gramEnd"/>
      <w:r w:rsidRPr="00563B2C">
        <w:t xml:space="preserve"> </w:t>
      </w:r>
    </w:p>
    <w:p w14:paraId="2F2DEB64" w14:textId="77777777" w:rsidR="00F2256A" w:rsidRPr="00563B2C" w:rsidRDefault="00F2256A" w:rsidP="005C031D">
      <w:pPr>
        <w:numPr>
          <w:ilvl w:val="4"/>
          <w:numId w:val="4"/>
        </w:numPr>
        <w:spacing w:beforeLines="40" w:before="96" w:afterLines="40" w:after="96"/>
        <w:ind w:right="894"/>
      </w:pPr>
      <w:r w:rsidRPr="00563B2C">
        <w:t>the list of functions that the QP has agreed to in relation to the application (QP1 Form, PBR00005</w:t>
      </w:r>
      <w:proofErr w:type="gramStart"/>
      <w:r w:rsidRPr="00563B2C">
        <w:t>);</w:t>
      </w:r>
      <w:proofErr w:type="gramEnd"/>
      <w:r w:rsidRPr="00563B2C">
        <w:t xml:space="preserve"> </w:t>
      </w:r>
    </w:p>
    <w:p w14:paraId="0FAC17E0" w14:textId="77777777" w:rsidR="00705636" w:rsidRPr="00563B2C" w:rsidRDefault="00963BCB" w:rsidP="005C031D">
      <w:pPr>
        <w:numPr>
          <w:ilvl w:val="4"/>
          <w:numId w:val="4"/>
        </w:numPr>
        <w:spacing w:beforeLines="40" w:before="96" w:afterLines="40" w:after="96"/>
        <w:ind w:right="894"/>
      </w:pPr>
      <w:r w:rsidRPr="00563B2C">
        <w:t>training at QP Workshop(s)</w:t>
      </w:r>
      <w:r w:rsidR="00F2256A" w:rsidRPr="00563B2C">
        <w:t>.</w:t>
      </w:r>
      <w:r w:rsidRPr="00563B2C">
        <w:t xml:space="preserve"> </w:t>
      </w:r>
      <w:r w:rsidR="00E50E38" w:rsidRPr="00563B2C">
        <w:t xml:space="preserve"> </w:t>
      </w:r>
    </w:p>
    <w:p w14:paraId="581C96DC" w14:textId="77777777" w:rsidR="00F2256A" w:rsidRPr="00563B2C" w:rsidRDefault="00F2256A" w:rsidP="005C031D">
      <w:pPr>
        <w:spacing w:beforeLines="40" w:before="96" w:afterLines="40" w:after="96"/>
        <w:ind w:right="894"/>
        <w:rPr>
          <w:rFonts w:eastAsia="MS Mincho"/>
          <w:b/>
          <w:bCs/>
          <w:lang w:eastAsia="ja-JP"/>
        </w:rPr>
      </w:pPr>
    </w:p>
    <w:p w14:paraId="5BD44F63" w14:textId="77777777" w:rsidR="00A92E2D" w:rsidRPr="00563B2C" w:rsidRDefault="0023723A" w:rsidP="005C031D">
      <w:pPr>
        <w:numPr>
          <w:ilvl w:val="0"/>
          <w:numId w:val="1"/>
        </w:numPr>
        <w:spacing w:beforeLines="40" w:before="96" w:afterLines="40" w:after="96"/>
        <w:ind w:right="894"/>
        <w:rPr>
          <w:rFonts w:eastAsia="MS Mincho"/>
          <w:b/>
          <w:bCs/>
          <w:szCs w:val="22"/>
          <w:lang w:eastAsia="ja-JP"/>
        </w:rPr>
      </w:pPr>
      <w:r w:rsidRPr="00563B2C">
        <w:rPr>
          <w:b/>
        </w:rPr>
        <w:t>Guidance on selection of comparator varieties</w:t>
      </w:r>
    </w:p>
    <w:p w14:paraId="7AF65E28" w14:textId="77777777" w:rsidR="00A32D6E" w:rsidRPr="00563B2C" w:rsidRDefault="00A32D6E" w:rsidP="005C031D">
      <w:pPr>
        <w:numPr>
          <w:ilvl w:val="1"/>
          <w:numId w:val="1"/>
        </w:numPr>
        <w:spacing w:beforeLines="40" w:before="96" w:afterLines="40" w:after="96"/>
        <w:ind w:right="894"/>
        <w:rPr>
          <w:rFonts w:eastAsia="MS Mincho"/>
          <w:b/>
          <w:bCs/>
          <w:szCs w:val="22"/>
          <w:lang w:eastAsia="ja-JP"/>
        </w:rPr>
      </w:pPr>
      <w:r w:rsidRPr="00563B2C">
        <w:rPr>
          <w:rFonts w:eastAsia="MS Mincho"/>
          <w:b/>
          <w:bCs/>
          <w:szCs w:val="22"/>
          <w:lang w:eastAsia="ja-JP"/>
        </w:rPr>
        <w:t>Varieties of Common Knowledge</w:t>
      </w:r>
    </w:p>
    <w:p w14:paraId="58871286" w14:textId="77777777" w:rsidR="00A32D6E" w:rsidRPr="00563B2C" w:rsidRDefault="003A5A8A" w:rsidP="005C031D">
      <w:pPr>
        <w:autoSpaceDE w:val="0"/>
        <w:autoSpaceDN w:val="0"/>
        <w:adjustRightInd w:val="0"/>
        <w:ind w:right="894"/>
        <w:rPr>
          <w:rFonts w:eastAsia="MS Mincho"/>
          <w:szCs w:val="22"/>
          <w:lang w:eastAsia="ja-JP"/>
        </w:rPr>
      </w:pPr>
      <w:hyperlink r:id="rId11" w:history="1">
        <w:r w:rsidR="00A32D6E" w:rsidRPr="003A5A8A">
          <w:rPr>
            <w:rStyle w:val="Hyperlink"/>
            <w:rFonts w:eastAsia="MS Mincho"/>
            <w:szCs w:val="22"/>
            <w:lang w:eastAsia="ja-JP"/>
          </w:rPr>
          <w:t>The General Introduction (TG 1/3)</w:t>
        </w:r>
      </w:hyperlink>
      <w:r w:rsidR="00A32D6E" w:rsidRPr="00563B2C">
        <w:rPr>
          <w:rFonts w:eastAsia="MS Mincho"/>
          <w:szCs w:val="22"/>
          <w:lang w:eastAsia="ja-JP"/>
        </w:rPr>
        <w:t xml:space="preserve"> </w:t>
      </w:r>
      <w:r w:rsidR="00A92E2D" w:rsidRPr="00563B2C">
        <w:rPr>
          <w:rFonts w:eastAsia="MS Mincho"/>
          <w:szCs w:val="22"/>
          <w:lang w:eastAsia="ja-JP"/>
        </w:rPr>
        <w:t xml:space="preserve">provides guidance on </w:t>
      </w:r>
      <w:r w:rsidR="00A92E2D" w:rsidRPr="00563B2C">
        <w:rPr>
          <w:rFonts w:eastAsia="MS Mincho"/>
          <w:i/>
          <w:szCs w:val="22"/>
          <w:lang w:eastAsia="ja-JP"/>
        </w:rPr>
        <w:t>Varieties of Common Knowledge</w:t>
      </w:r>
      <w:r w:rsidR="00A92E2D" w:rsidRPr="00563B2C">
        <w:rPr>
          <w:rFonts w:eastAsia="MS Mincho"/>
          <w:szCs w:val="22"/>
          <w:lang w:eastAsia="ja-JP"/>
        </w:rPr>
        <w:t xml:space="preserve">: </w:t>
      </w:r>
    </w:p>
    <w:p w14:paraId="50DE9165" w14:textId="77777777" w:rsidR="00A92E2D" w:rsidRPr="00563B2C" w:rsidRDefault="00A92E2D" w:rsidP="005C031D">
      <w:pPr>
        <w:autoSpaceDE w:val="0"/>
        <w:autoSpaceDN w:val="0"/>
        <w:adjustRightInd w:val="0"/>
        <w:ind w:right="894"/>
        <w:rPr>
          <w:rFonts w:eastAsia="MS Mincho"/>
          <w:szCs w:val="22"/>
          <w:lang w:eastAsia="ja-JP"/>
        </w:rPr>
      </w:pPr>
    </w:p>
    <w:p w14:paraId="057CAD0E" w14:textId="77777777" w:rsidR="00A92E2D" w:rsidRPr="00563B2C" w:rsidRDefault="00A92E2D" w:rsidP="005C031D">
      <w:pPr>
        <w:autoSpaceDE w:val="0"/>
        <w:autoSpaceDN w:val="0"/>
        <w:adjustRightInd w:val="0"/>
        <w:ind w:left="720" w:right="894"/>
        <w:rPr>
          <w:rFonts w:eastAsia="MS Mincho"/>
          <w:szCs w:val="22"/>
          <w:lang w:eastAsia="ja-JP"/>
        </w:rPr>
      </w:pPr>
      <w:r w:rsidRPr="00563B2C">
        <w:rPr>
          <w:rFonts w:eastAsia="MS Mincho"/>
          <w:szCs w:val="22"/>
          <w:lang w:eastAsia="ja-JP"/>
        </w:rPr>
        <w:t>“5.2. Varieties of Common knowledge</w:t>
      </w:r>
    </w:p>
    <w:p w14:paraId="1B07B201" w14:textId="77777777" w:rsidR="00A92E2D" w:rsidRPr="00563B2C" w:rsidRDefault="00A92E2D" w:rsidP="005C031D">
      <w:pPr>
        <w:autoSpaceDE w:val="0"/>
        <w:autoSpaceDN w:val="0"/>
        <w:adjustRightInd w:val="0"/>
        <w:ind w:left="720" w:right="894"/>
        <w:rPr>
          <w:rFonts w:eastAsia="MS Mincho"/>
          <w:szCs w:val="22"/>
          <w:lang w:eastAsia="ja-JP"/>
        </w:rPr>
      </w:pPr>
    </w:p>
    <w:p w14:paraId="11448185" w14:textId="77777777" w:rsidR="00A32D6E" w:rsidRPr="00563B2C" w:rsidRDefault="00A92E2D" w:rsidP="005C031D">
      <w:pPr>
        <w:autoSpaceDE w:val="0"/>
        <w:autoSpaceDN w:val="0"/>
        <w:adjustRightInd w:val="0"/>
        <w:ind w:left="720" w:right="894"/>
        <w:rPr>
          <w:rFonts w:eastAsia="MS Mincho"/>
          <w:szCs w:val="22"/>
          <w:lang w:eastAsia="ja-JP"/>
        </w:rPr>
      </w:pPr>
      <w:r w:rsidRPr="00563B2C">
        <w:rPr>
          <w:rFonts w:eastAsia="MS Mincho"/>
          <w:szCs w:val="22"/>
          <w:lang w:eastAsia="ja-JP"/>
        </w:rPr>
        <w:t xml:space="preserve"> </w:t>
      </w:r>
      <w:r w:rsidR="00A32D6E" w:rsidRPr="00563B2C">
        <w:rPr>
          <w:rFonts w:eastAsia="MS Mincho"/>
          <w:szCs w:val="22"/>
          <w:lang w:eastAsia="ja-JP"/>
        </w:rPr>
        <w:t xml:space="preserve">Key aspects for determining whether a potential variety is, in fact, a variety and moreover whether its existence is a matter of common knowledge are set out below.  These considerations apply equally to all types of variety, whether protected or not, and include plant material, such as ecotypes and landraces.  Further developments and a more detailed explanation of the issues related to varieties of common knowledge are to be found in document </w:t>
      </w:r>
      <w:r w:rsidR="00A32D6E" w:rsidRPr="00563B2C">
        <w:rPr>
          <w:rFonts w:eastAsia="MS Mincho"/>
          <w:szCs w:val="20"/>
          <w:lang w:eastAsia="ja-JP"/>
        </w:rPr>
        <w:t>TGP/</w:t>
      </w:r>
      <w:r w:rsidR="00A32D6E" w:rsidRPr="00563B2C">
        <w:rPr>
          <w:rFonts w:eastAsia="MS Mincho"/>
          <w:szCs w:val="22"/>
          <w:lang w:eastAsia="ja-JP"/>
        </w:rPr>
        <w:t xml:space="preserve">3, “Varieties of Common Knowledge.” </w:t>
      </w:r>
    </w:p>
    <w:p w14:paraId="0C2984CA" w14:textId="77777777" w:rsidR="00A32D6E" w:rsidRPr="00563B2C" w:rsidRDefault="00A32D6E" w:rsidP="005C031D">
      <w:pPr>
        <w:autoSpaceDE w:val="0"/>
        <w:autoSpaceDN w:val="0"/>
        <w:adjustRightInd w:val="0"/>
        <w:ind w:left="720" w:right="894"/>
        <w:rPr>
          <w:rFonts w:eastAsia="MS Mincho"/>
          <w:szCs w:val="22"/>
          <w:lang w:eastAsia="ja-JP"/>
        </w:rPr>
      </w:pPr>
    </w:p>
    <w:p w14:paraId="2FD7F913" w14:textId="77777777" w:rsidR="00A32D6E" w:rsidRPr="00563B2C" w:rsidRDefault="00A32D6E" w:rsidP="005C031D">
      <w:pPr>
        <w:autoSpaceDE w:val="0"/>
        <w:autoSpaceDN w:val="0"/>
        <w:adjustRightInd w:val="0"/>
        <w:ind w:left="720" w:right="894"/>
        <w:rPr>
          <w:rFonts w:eastAsia="MS Mincho"/>
          <w:szCs w:val="22"/>
          <w:lang w:eastAsia="ja-JP"/>
        </w:rPr>
      </w:pPr>
      <w:r w:rsidRPr="00563B2C">
        <w:rPr>
          <w:rFonts w:eastAsia="MS Mincho"/>
          <w:szCs w:val="22"/>
          <w:lang w:eastAsia="ja-JP"/>
        </w:rPr>
        <w:t>5.2.1 Criteria for a Variety</w:t>
      </w:r>
    </w:p>
    <w:p w14:paraId="0B7B1084" w14:textId="77777777" w:rsidR="00A32D6E" w:rsidRPr="00563B2C" w:rsidRDefault="00A32D6E" w:rsidP="005C031D">
      <w:pPr>
        <w:autoSpaceDE w:val="0"/>
        <w:autoSpaceDN w:val="0"/>
        <w:adjustRightInd w:val="0"/>
        <w:ind w:left="720" w:right="894"/>
        <w:rPr>
          <w:rFonts w:eastAsia="MS Mincho"/>
          <w:szCs w:val="22"/>
          <w:lang w:eastAsia="ja-JP"/>
        </w:rPr>
      </w:pPr>
      <w:r w:rsidRPr="00563B2C">
        <w:rPr>
          <w:rFonts w:eastAsia="MS Mincho"/>
          <w:szCs w:val="22"/>
          <w:lang w:eastAsia="ja-JP"/>
        </w:rPr>
        <w:t xml:space="preserve">A variety whose existence is a matter of common knowledge must satisfy the definition of </w:t>
      </w:r>
      <w:proofErr w:type="gramStart"/>
      <w:r w:rsidRPr="00563B2C">
        <w:rPr>
          <w:rFonts w:eastAsia="MS Mincho"/>
          <w:szCs w:val="22"/>
          <w:lang w:eastAsia="ja-JP"/>
        </w:rPr>
        <w:t>a  variety</w:t>
      </w:r>
      <w:proofErr w:type="gramEnd"/>
      <w:r w:rsidRPr="00563B2C">
        <w:rPr>
          <w:rFonts w:eastAsia="MS Mincho"/>
          <w:szCs w:val="22"/>
          <w:lang w:eastAsia="ja-JP"/>
        </w:rPr>
        <w:t xml:space="preserve">  set  out  in  Article 1(vi)  of  the  1991  Act  of  the  UPOV  Convention,  but  this  does  not necessarily  require  </w:t>
      </w:r>
      <w:r w:rsidR="00DF63C3" w:rsidRPr="00563B2C">
        <w:rPr>
          <w:rFonts w:eastAsia="MS Mincho"/>
          <w:szCs w:val="22"/>
          <w:lang w:eastAsia="ja-JP"/>
        </w:rPr>
        <w:t>fulfilment</w:t>
      </w:r>
      <w:r w:rsidRPr="00563B2C">
        <w:rPr>
          <w:rFonts w:eastAsia="MS Mincho"/>
          <w:szCs w:val="22"/>
          <w:lang w:eastAsia="ja-JP"/>
        </w:rPr>
        <w:t xml:space="preserve">  of  the DUS  criteria  required  for  grant  of  a  breeder’s  right  under  the </w:t>
      </w:r>
      <w:r w:rsidR="00A92E2D" w:rsidRPr="00563B2C">
        <w:rPr>
          <w:rFonts w:eastAsia="MS Mincho"/>
          <w:szCs w:val="22"/>
          <w:lang w:eastAsia="ja-JP"/>
        </w:rPr>
        <w:t xml:space="preserve"> </w:t>
      </w:r>
      <w:r w:rsidRPr="00563B2C">
        <w:rPr>
          <w:rFonts w:eastAsia="MS Mincho"/>
          <w:szCs w:val="22"/>
          <w:lang w:eastAsia="ja-JP"/>
        </w:rPr>
        <w:t>UPOV Convention.</w:t>
      </w:r>
    </w:p>
    <w:p w14:paraId="0B355DCA" w14:textId="77777777" w:rsidR="00A92E2D" w:rsidRPr="00563B2C" w:rsidRDefault="00A92E2D" w:rsidP="005C031D">
      <w:pPr>
        <w:autoSpaceDE w:val="0"/>
        <w:autoSpaceDN w:val="0"/>
        <w:adjustRightInd w:val="0"/>
        <w:ind w:left="720" w:right="894"/>
        <w:rPr>
          <w:rFonts w:eastAsia="MS Mincho"/>
          <w:szCs w:val="22"/>
          <w:lang w:eastAsia="ja-JP"/>
        </w:rPr>
      </w:pPr>
    </w:p>
    <w:p w14:paraId="195BCCF3" w14:textId="77777777" w:rsidR="00A32D6E" w:rsidRPr="00563B2C" w:rsidRDefault="00A32D6E" w:rsidP="005C031D">
      <w:pPr>
        <w:autoSpaceDE w:val="0"/>
        <w:autoSpaceDN w:val="0"/>
        <w:adjustRightInd w:val="0"/>
        <w:ind w:left="720" w:right="894"/>
        <w:rPr>
          <w:rFonts w:eastAsia="MS Mincho"/>
          <w:szCs w:val="22"/>
          <w:lang w:eastAsia="ja-JP"/>
        </w:rPr>
      </w:pPr>
      <w:r w:rsidRPr="00563B2C">
        <w:rPr>
          <w:rFonts w:eastAsia="MS Mincho"/>
          <w:szCs w:val="22"/>
          <w:lang w:eastAsia="ja-JP"/>
        </w:rPr>
        <w:t>5.2.2 Common Knowledge</w:t>
      </w:r>
    </w:p>
    <w:p w14:paraId="71D25373" w14:textId="77777777" w:rsidR="009021DA" w:rsidRPr="00563B2C" w:rsidRDefault="009021DA" w:rsidP="005C031D">
      <w:pPr>
        <w:autoSpaceDE w:val="0"/>
        <w:autoSpaceDN w:val="0"/>
        <w:adjustRightInd w:val="0"/>
        <w:ind w:left="720" w:right="894"/>
        <w:rPr>
          <w:rFonts w:eastAsia="MS Mincho"/>
          <w:szCs w:val="22"/>
          <w:lang w:eastAsia="ja-JP"/>
        </w:rPr>
      </w:pPr>
    </w:p>
    <w:p w14:paraId="2CD8666E" w14:textId="77777777" w:rsidR="00A32D6E" w:rsidRPr="00563B2C" w:rsidRDefault="00A32D6E" w:rsidP="005C031D">
      <w:pPr>
        <w:autoSpaceDE w:val="0"/>
        <w:autoSpaceDN w:val="0"/>
        <w:adjustRightInd w:val="0"/>
        <w:ind w:left="720" w:right="894"/>
        <w:rPr>
          <w:rFonts w:eastAsia="MS Mincho"/>
          <w:szCs w:val="22"/>
          <w:lang w:eastAsia="ja-JP"/>
        </w:rPr>
      </w:pPr>
      <w:r w:rsidRPr="00563B2C">
        <w:rPr>
          <w:rFonts w:eastAsia="MS Mincho"/>
          <w:szCs w:val="22"/>
          <w:lang w:eastAsia="ja-JP"/>
        </w:rPr>
        <w:t xml:space="preserve">5.2.2.1 </w:t>
      </w:r>
      <w:proofErr w:type="gramStart"/>
      <w:r w:rsidRPr="00563B2C">
        <w:rPr>
          <w:rFonts w:eastAsia="MS Mincho"/>
          <w:szCs w:val="22"/>
          <w:lang w:eastAsia="ja-JP"/>
        </w:rPr>
        <w:t>Specific  aspects</w:t>
      </w:r>
      <w:proofErr w:type="gramEnd"/>
      <w:r w:rsidRPr="00563B2C">
        <w:rPr>
          <w:rFonts w:eastAsia="MS Mincho"/>
          <w:szCs w:val="22"/>
          <w:lang w:eastAsia="ja-JP"/>
        </w:rPr>
        <w:t xml:space="preserve">  which  should  be  considered  to  establish  common  knowledge  include, </w:t>
      </w:r>
      <w:r w:rsidR="00A92E2D" w:rsidRPr="00563B2C">
        <w:rPr>
          <w:rFonts w:eastAsia="MS Mincho"/>
          <w:szCs w:val="22"/>
          <w:lang w:eastAsia="ja-JP"/>
        </w:rPr>
        <w:t xml:space="preserve"> </w:t>
      </w:r>
      <w:r w:rsidRPr="00563B2C">
        <w:rPr>
          <w:rFonts w:eastAsia="MS Mincho"/>
          <w:szCs w:val="22"/>
          <w:lang w:eastAsia="ja-JP"/>
        </w:rPr>
        <w:t>among others:</w:t>
      </w:r>
    </w:p>
    <w:p w14:paraId="04DE42FC" w14:textId="77777777" w:rsidR="00541581" w:rsidRPr="00563B2C" w:rsidRDefault="00541581" w:rsidP="005C031D">
      <w:pPr>
        <w:autoSpaceDE w:val="0"/>
        <w:autoSpaceDN w:val="0"/>
        <w:adjustRightInd w:val="0"/>
        <w:ind w:left="1440" w:right="894"/>
        <w:rPr>
          <w:rFonts w:eastAsia="MS Mincho"/>
          <w:szCs w:val="22"/>
          <w:lang w:eastAsia="ja-JP"/>
        </w:rPr>
      </w:pPr>
    </w:p>
    <w:p w14:paraId="5DBC79CA" w14:textId="77777777" w:rsidR="00A32D6E" w:rsidRPr="00563B2C" w:rsidRDefault="00A32D6E" w:rsidP="005C031D">
      <w:pPr>
        <w:autoSpaceDE w:val="0"/>
        <w:autoSpaceDN w:val="0"/>
        <w:adjustRightInd w:val="0"/>
        <w:ind w:left="1440" w:right="894"/>
        <w:rPr>
          <w:rFonts w:eastAsia="MS Mincho"/>
          <w:szCs w:val="22"/>
          <w:lang w:eastAsia="ja-JP"/>
        </w:rPr>
      </w:pPr>
      <w:r w:rsidRPr="00563B2C">
        <w:rPr>
          <w:rFonts w:eastAsia="MS Mincho"/>
          <w:szCs w:val="22"/>
          <w:lang w:eastAsia="ja-JP"/>
        </w:rPr>
        <w:t xml:space="preserve">(a) </w:t>
      </w:r>
      <w:proofErr w:type="gramStart"/>
      <w:r w:rsidRPr="00563B2C">
        <w:rPr>
          <w:rFonts w:eastAsia="MS Mincho"/>
          <w:szCs w:val="22"/>
          <w:lang w:eastAsia="ja-JP"/>
        </w:rPr>
        <w:t>commerciali</w:t>
      </w:r>
      <w:r w:rsidR="005C031D">
        <w:rPr>
          <w:rFonts w:eastAsia="MS Mincho"/>
          <w:szCs w:val="22"/>
          <w:lang w:eastAsia="ja-JP"/>
        </w:rPr>
        <w:t>s</w:t>
      </w:r>
      <w:r w:rsidRPr="00563B2C">
        <w:rPr>
          <w:rFonts w:eastAsia="MS Mincho"/>
          <w:szCs w:val="22"/>
          <w:lang w:eastAsia="ja-JP"/>
        </w:rPr>
        <w:t>ation  of</w:t>
      </w:r>
      <w:proofErr w:type="gramEnd"/>
      <w:r w:rsidRPr="00563B2C">
        <w:rPr>
          <w:rFonts w:eastAsia="MS Mincho"/>
          <w:szCs w:val="22"/>
          <w:lang w:eastAsia="ja-JP"/>
        </w:rPr>
        <w:t xml:space="preserve">  propagating  or  harvested  material  of  the  variety,  or  publishing  a detailed description;</w:t>
      </w:r>
    </w:p>
    <w:p w14:paraId="229915B9" w14:textId="77777777" w:rsidR="00541581" w:rsidRPr="00563B2C" w:rsidRDefault="00541581" w:rsidP="005C031D">
      <w:pPr>
        <w:autoSpaceDE w:val="0"/>
        <w:autoSpaceDN w:val="0"/>
        <w:adjustRightInd w:val="0"/>
        <w:ind w:left="1440" w:right="894"/>
        <w:rPr>
          <w:rFonts w:eastAsia="MS Mincho"/>
          <w:szCs w:val="22"/>
          <w:lang w:eastAsia="ja-JP"/>
        </w:rPr>
      </w:pPr>
    </w:p>
    <w:p w14:paraId="65E31DCA" w14:textId="77777777" w:rsidR="00A32D6E" w:rsidRPr="00563B2C" w:rsidRDefault="00A32D6E" w:rsidP="005C031D">
      <w:pPr>
        <w:autoSpaceDE w:val="0"/>
        <w:autoSpaceDN w:val="0"/>
        <w:adjustRightInd w:val="0"/>
        <w:ind w:left="1440" w:right="894"/>
        <w:rPr>
          <w:rFonts w:eastAsia="MS Mincho"/>
          <w:szCs w:val="22"/>
          <w:lang w:eastAsia="ja-JP"/>
        </w:rPr>
      </w:pPr>
      <w:r w:rsidRPr="00563B2C">
        <w:rPr>
          <w:rFonts w:eastAsia="MS Mincho"/>
          <w:szCs w:val="22"/>
          <w:lang w:eastAsia="ja-JP"/>
        </w:rPr>
        <w:t>(b) the filing of an application for the grant of a breeder’s right or for the entering of a variety</w:t>
      </w:r>
      <w:r w:rsidR="00541581" w:rsidRPr="00563B2C">
        <w:rPr>
          <w:rFonts w:eastAsia="MS Mincho"/>
          <w:szCs w:val="22"/>
          <w:lang w:eastAsia="ja-JP"/>
        </w:rPr>
        <w:t xml:space="preserve"> </w:t>
      </w:r>
      <w:r w:rsidRPr="00563B2C">
        <w:rPr>
          <w:rFonts w:eastAsia="MS Mincho"/>
          <w:szCs w:val="22"/>
          <w:lang w:eastAsia="ja-JP"/>
        </w:rPr>
        <w:t>in an official register of varieties, in any country, which is deemed to render that variety a matter of common knowledge from the date of the application, provided that the application leads to the grant of a breeder’s right or to the entering of the variety in the official register of varieties, as the case may be;</w:t>
      </w:r>
    </w:p>
    <w:p w14:paraId="54FAC871" w14:textId="77777777" w:rsidR="00541581" w:rsidRPr="00563B2C" w:rsidRDefault="00541581" w:rsidP="005C031D">
      <w:pPr>
        <w:autoSpaceDE w:val="0"/>
        <w:autoSpaceDN w:val="0"/>
        <w:adjustRightInd w:val="0"/>
        <w:ind w:left="1440" w:right="894"/>
        <w:rPr>
          <w:rFonts w:eastAsia="MS Mincho"/>
          <w:szCs w:val="22"/>
          <w:lang w:eastAsia="ja-JP"/>
        </w:rPr>
      </w:pPr>
    </w:p>
    <w:p w14:paraId="33E86CC5" w14:textId="77777777" w:rsidR="00A32D6E" w:rsidRPr="00563B2C" w:rsidRDefault="00A32D6E" w:rsidP="005C031D">
      <w:pPr>
        <w:autoSpaceDE w:val="0"/>
        <w:autoSpaceDN w:val="0"/>
        <w:adjustRightInd w:val="0"/>
        <w:ind w:left="1440" w:right="894"/>
        <w:rPr>
          <w:rFonts w:eastAsia="MS Mincho"/>
          <w:szCs w:val="22"/>
          <w:lang w:eastAsia="ja-JP"/>
        </w:rPr>
      </w:pPr>
      <w:r w:rsidRPr="00563B2C">
        <w:rPr>
          <w:rFonts w:eastAsia="MS Mincho"/>
          <w:szCs w:val="22"/>
          <w:lang w:eastAsia="ja-JP"/>
        </w:rPr>
        <w:t>(c) existence of living plant material in publicly accessible plant collections.</w:t>
      </w:r>
    </w:p>
    <w:p w14:paraId="76A1939C" w14:textId="77777777" w:rsidR="009021DA" w:rsidRPr="00563B2C" w:rsidRDefault="009021DA" w:rsidP="005C031D">
      <w:pPr>
        <w:ind w:left="1440" w:right="894"/>
        <w:rPr>
          <w:rFonts w:eastAsia="MS Mincho"/>
          <w:szCs w:val="22"/>
          <w:lang w:eastAsia="ja-JP"/>
        </w:rPr>
      </w:pPr>
    </w:p>
    <w:p w14:paraId="2FA8C3E8" w14:textId="77777777" w:rsidR="007D6A79" w:rsidRPr="00563B2C" w:rsidRDefault="00A32D6E" w:rsidP="005C031D">
      <w:pPr>
        <w:ind w:left="720" w:right="894"/>
        <w:rPr>
          <w:rFonts w:eastAsia="MS Mincho"/>
          <w:szCs w:val="22"/>
          <w:lang w:eastAsia="ja-JP"/>
        </w:rPr>
      </w:pPr>
      <w:r w:rsidRPr="00563B2C">
        <w:rPr>
          <w:rFonts w:eastAsia="MS Mincho"/>
          <w:szCs w:val="22"/>
          <w:lang w:eastAsia="ja-JP"/>
        </w:rPr>
        <w:t>5.2.2.2 Common knowledge is not restricted to national or geographical borders.</w:t>
      </w:r>
    </w:p>
    <w:p w14:paraId="7870550C" w14:textId="77777777" w:rsidR="009021DA" w:rsidRPr="00563B2C" w:rsidRDefault="009021DA" w:rsidP="005C031D">
      <w:pPr>
        <w:autoSpaceDE w:val="0"/>
        <w:autoSpaceDN w:val="0"/>
        <w:adjustRightInd w:val="0"/>
        <w:ind w:right="894"/>
        <w:rPr>
          <w:rFonts w:eastAsia="MS Mincho"/>
          <w:b/>
          <w:bCs/>
          <w:szCs w:val="22"/>
          <w:lang w:eastAsia="ja-JP"/>
        </w:rPr>
      </w:pPr>
    </w:p>
    <w:p w14:paraId="087BAF4A" w14:textId="77777777" w:rsidR="009021DA" w:rsidRPr="00563B2C" w:rsidRDefault="009021DA" w:rsidP="005C031D">
      <w:pPr>
        <w:autoSpaceDE w:val="0"/>
        <w:autoSpaceDN w:val="0"/>
        <w:adjustRightInd w:val="0"/>
        <w:ind w:left="720" w:right="894"/>
        <w:rPr>
          <w:rFonts w:eastAsia="MS Mincho"/>
          <w:b/>
          <w:bCs/>
          <w:szCs w:val="22"/>
          <w:lang w:eastAsia="ja-JP"/>
        </w:rPr>
      </w:pPr>
      <w:r w:rsidRPr="00563B2C">
        <w:rPr>
          <w:rFonts w:eastAsia="MS Mincho"/>
          <w:b/>
          <w:bCs/>
          <w:szCs w:val="22"/>
          <w:lang w:eastAsia="ja-JP"/>
        </w:rPr>
        <w:t>5.3 Clearly Distinguishing a New Variety</w:t>
      </w:r>
    </w:p>
    <w:p w14:paraId="0C005C2A" w14:textId="77777777" w:rsidR="009021DA" w:rsidRPr="00563B2C" w:rsidRDefault="009021DA" w:rsidP="005C031D">
      <w:pPr>
        <w:autoSpaceDE w:val="0"/>
        <w:autoSpaceDN w:val="0"/>
        <w:adjustRightInd w:val="0"/>
        <w:ind w:left="720" w:right="894"/>
        <w:rPr>
          <w:rFonts w:eastAsia="MS Mincho"/>
          <w:szCs w:val="22"/>
          <w:lang w:eastAsia="ja-JP"/>
        </w:rPr>
      </w:pPr>
    </w:p>
    <w:p w14:paraId="04DC662B" w14:textId="77777777" w:rsidR="009021DA" w:rsidRPr="00563B2C" w:rsidRDefault="009021DA" w:rsidP="005C031D">
      <w:pPr>
        <w:autoSpaceDE w:val="0"/>
        <w:autoSpaceDN w:val="0"/>
        <w:adjustRightInd w:val="0"/>
        <w:ind w:left="720" w:right="894"/>
        <w:rPr>
          <w:rFonts w:eastAsia="MS Mincho"/>
          <w:szCs w:val="22"/>
          <w:lang w:eastAsia="ja-JP"/>
        </w:rPr>
      </w:pPr>
      <w:r w:rsidRPr="00563B2C">
        <w:rPr>
          <w:rFonts w:eastAsia="MS Mincho"/>
          <w:szCs w:val="22"/>
          <w:lang w:eastAsia="ja-JP"/>
        </w:rPr>
        <w:t>5.3.1 Comparing Varieties</w:t>
      </w:r>
    </w:p>
    <w:p w14:paraId="164827DC" w14:textId="77777777" w:rsidR="009021DA" w:rsidRPr="00563B2C" w:rsidRDefault="009021DA" w:rsidP="005C031D">
      <w:pPr>
        <w:autoSpaceDE w:val="0"/>
        <w:autoSpaceDN w:val="0"/>
        <w:adjustRightInd w:val="0"/>
        <w:ind w:left="720" w:right="894"/>
        <w:rPr>
          <w:rFonts w:eastAsia="MS Mincho"/>
          <w:szCs w:val="22"/>
          <w:lang w:eastAsia="ja-JP"/>
        </w:rPr>
      </w:pPr>
    </w:p>
    <w:p w14:paraId="692DEB27" w14:textId="77777777" w:rsidR="009021DA" w:rsidRPr="00563B2C" w:rsidRDefault="009021DA" w:rsidP="005C031D">
      <w:pPr>
        <w:autoSpaceDE w:val="0"/>
        <w:autoSpaceDN w:val="0"/>
        <w:adjustRightInd w:val="0"/>
        <w:ind w:left="720" w:right="894"/>
        <w:rPr>
          <w:rFonts w:eastAsia="MS Mincho"/>
          <w:szCs w:val="22"/>
          <w:lang w:eastAsia="ja-JP"/>
        </w:rPr>
      </w:pPr>
      <w:r w:rsidRPr="00563B2C">
        <w:rPr>
          <w:rFonts w:eastAsia="MS Mincho"/>
          <w:szCs w:val="22"/>
          <w:lang w:eastAsia="ja-JP"/>
        </w:rPr>
        <w:t xml:space="preserve">5.3.1.1 </w:t>
      </w:r>
      <w:proofErr w:type="gramStart"/>
      <w:r w:rsidRPr="00563B2C">
        <w:rPr>
          <w:rFonts w:eastAsia="MS Mincho"/>
          <w:szCs w:val="22"/>
          <w:lang w:eastAsia="ja-JP"/>
        </w:rPr>
        <w:t>It  is</w:t>
      </w:r>
      <w:proofErr w:type="gramEnd"/>
      <w:r w:rsidRPr="00563B2C">
        <w:rPr>
          <w:rFonts w:eastAsia="MS Mincho"/>
          <w:szCs w:val="22"/>
          <w:lang w:eastAsia="ja-JP"/>
        </w:rPr>
        <w:t xml:space="preserve">  necessary  to  examine  distinctness  in  relation  to all varieties  of  common knowledge.  </w:t>
      </w:r>
      <w:proofErr w:type="gramStart"/>
      <w:r w:rsidRPr="00563B2C">
        <w:rPr>
          <w:rFonts w:eastAsia="MS Mincho"/>
          <w:szCs w:val="22"/>
          <w:lang w:eastAsia="ja-JP"/>
        </w:rPr>
        <w:t>However,  a</w:t>
      </w:r>
      <w:proofErr w:type="gramEnd"/>
      <w:r w:rsidRPr="00563B2C">
        <w:rPr>
          <w:rFonts w:eastAsia="MS Mincho"/>
          <w:szCs w:val="22"/>
          <w:lang w:eastAsia="ja-JP"/>
        </w:rPr>
        <w:t xml:space="preserve">  systematic  individual  comparison  may  not  be  required  with  all  varieties  of  common knowledge.  For example, where a candidate variety is sufficiently different, in the expression of its characteristics, to ensure that it is distinct from a particular group (or groups) of varieties of common knowledge, it </w:t>
      </w:r>
      <w:r w:rsidRPr="00563B2C">
        <w:rPr>
          <w:rFonts w:eastAsia="MS Mincho"/>
          <w:szCs w:val="22"/>
          <w:lang w:eastAsia="ja-JP"/>
        </w:rPr>
        <w:lastRenderedPageBreak/>
        <w:t>would not be necessary for a systematic individual comparison with the varieties in that group (or those groups).</w:t>
      </w:r>
    </w:p>
    <w:p w14:paraId="21A314E8" w14:textId="77777777" w:rsidR="009021DA" w:rsidRPr="00563B2C" w:rsidRDefault="009021DA" w:rsidP="005C031D">
      <w:pPr>
        <w:autoSpaceDE w:val="0"/>
        <w:autoSpaceDN w:val="0"/>
        <w:adjustRightInd w:val="0"/>
        <w:ind w:left="720" w:right="894"/>
        <w:rPr>
          <w:rFonts w:eastAsia="MS Mincho"/>
          <w:szCs w:val="22"/>
          <w:lang w:eastAsia="ja-JP"/>
        </w:rPr>
      </w:pPr>
    </w:p>
    <w:p w14:paraId="0865C4AD" w14:textId="77777777" w:rsidR="009021DA" w:rsidRPr="00563B2C" w:rsidRDefault="009021DA" w:rsidP="005C031D">
      <w:pPr>
        <w:autoSpaceDE w:val="0"/>
        <w:autoSpaceDN w:val="0"/>
        <w:adjustRightInd w:val="0"/>
        <w:ind w:left="720" w:right="894"/>
        <w:rPr>
          <w:rFonts w:eastAsia="MS Mincho"/>
          <w:szCs w:val="22"/>
          <w:lang w:eastAsia="ja-JP"/>
        </w:rPr>
      </w:pPr>
      <w:r w:rsidRPr="00563B2C">
        <w:rPr>
          <w:rFonts w:eastAsia="MS Mincho"/>
          <w:szCs w:val="22"/>
          <w:lang w:eastAsia="ja-JP"/>
        </w:rPr>
        <w:t xml:space="preserve">5.3.1.2 </w:t>
      </w:r>
      <w:proofErr w:type="gramStart"/>
      <w:r w:rsidRPr="00563B2C">
        <w:rPr>
          <w:rFonts w:eastAsia="MS Mincho"/>
          <w:szCs w:val="22"/>
          <w:lang w:eastAsia="ja-JP"/>
        </w:rPr>
        <w:t>In  addition</w:t>
      </w:r>
      <w:proofErr w:type="gramEnd"/>
      <w:r w:rsidRPr="00563B2C">
        <w:rPr>
          <w:rFonts w:eastAsia="MS Mincho"/>
          <w:szCs w:val="22"/>
          <w:lang w:eastAsia="ja-JP"/>
        </w:rPr>
        <w:t xml:space="preserve">,  certain  supplementary  procedures may be  developed  to  avoid  the need  for  a systematic  individual  comparison.    </w:t>
      </w:r>
      <w:proofErr w:type="gramStart"/>
      <w:r w:rsidRPr="00563B2C">
        <w:rPr>
          <w:rFonts w:eastAsia="MS Mincho"/>
          <w:szCs w:val="22"/>
          <w:lang w:eastAsia="ja-JP"/>
        </w:rPr>
        <w:t>For  example</w:t>
      </w:r>
      <w:proofErr w:type="gramEnd"/>
      <w:r w:rsidRPr="00563B2C">
        <w:rPr>
          <w:rFonts w:eastAsia="MS Mincho"/>
          <w:szCs w:val="22"/>
          <w:lang w:eastAsia="ja-JP"/>
        </w:rPr>
        <w:t xml:space="preserve">,  the  publication  of  variety  descriptions,  inviting comment  from  interested  parties,  or  cooperation  between members  of  the Union,  in  the  form  of  an exchange of technical information, could be considered as supplementary procedures.  However, such </w:t>
      </w:r>
      <w:proofErr w:type="gramStart"/>
      <w:r w:rsidRPr="00563B2C">
        <w:rPr>
          <w:rFonts w:eastAsia="MS Mincho"/>
          <w:szCs w:val="22"/>
          <w:lang w:eastAsia="ja-JP"/>
        </w:rPr>
        <w:t>an  approach</w:t>
      </w:r>
      <w:proofErr w:type="gramEnd"/>
      <w:r w:rsidRPr="00563B2C">
        <w:rPr>
          <w:rFonts w:eastAsia="MS Mincho"/>
          <w:szCs w:val="22"/>
          <w:lang w:eastAsia="ja-JP"/>
        </w:rPr>
        <w:t xml:space="preserve"> would  only  be  possible where  the  supplementary  procedures,  in  conjunction with  the other procedures, provide an effective examination of distinctness overall.  Such procedures may also be appropriate for consideration of varieties of common knowledge, for which living plant material is known to exist (see section 5.2.2) but where, for practical reasons, material is not readily accessible for examination.  Any such procedures are set out in document </w:t>
      </w:r>
      <w:hyperlink r:id="rId12" w:history="1">
        <w:r w:rsidRPr="003A5A8A">
          <w:rPr>
            <w:rStyle w:val="Hyperlink"/>
            <w:rFonts w:eastAsia="MS Mincho"/>
            <w:szCs w:val="20"/>
            <w:lang w:eastAsia="ja-JP"/>
          </w:rPr>
          <w:t>TGP/</w:t>
        </w:r>
        <w:r w:rsidRPr="003A5A8A">
          <w:rPr>
            <w:rStyle w:val="Hyperlink"/>
            <w:rFonts w:eastAsia="MS Mincho"/>
            <w:szCs w:val="22"/>
            <w:lang w:eastAsia="ja-JP"/>
          </w:rPr>
          <w:t>9</w:t>
        </w:r>
      </w:hyperlink>
      <w:r w:rsidRPr="00563B2C">
        <w:rPr>
          <w:rFonts w:eastAsia="MS Mincho"/>
          <w:szCs w:val="22"/>
          <w:lang w:eastAsia="ja-JP"/>
        </w:rPr>
        <w:t xml:space="preserve">, “Examining Distinctness.” </w:t>
      </w:r>
    </w:p>
    <w:p w14:paraId="4336E3C2" w14:textId="77777777" w:rsidR="009021DA" w:rsidRPr="00563B2C" w:rsidRDefault="009021DA" w:rsidP="005C031D">
      <w:pPr>
        <w:autoSpaceDE w:val="0"/>
        <w:autoSpaceDN w:val="0"/>
        <w:adjustRightInd w:val="0"/>
        <w:ind w:left="720" w:right="894"/>
        <w:rPr>
          <w:rFonts w:eastAsia="MS Mincho"/>
          <w:szCs w:val="22"/>
          <w:lang w:eastAsia="ja-JP"/>
        </w:rPr>
      </w:pPr>
    </w:p>
    <w:p w14:paraId="2BCC6B2F" w14:textId="77777777" w:rsidR="009021DA" w:rsidRPr="00563B2C" w:rsidRDefault="009021DA" w:rsidP="005C031D">
      <w:pPr>
        <w:autoSpaceDE w:val="0"/>
        <w:autoSpaceDN w:val="0"/>
        <w:adjustRightInd w:val="0"/>
        <w:ind w:left="720" w:right="894"/>
        <w:rPr>
          <w:rFonts w:eastAsia="MS Mincho"/>
          <w:szCs w:val="22"/>
          <w:lang w:eastAsia="ja-JP"/>
        </w:rPr>
      </w:pPr>
      <w:r w:rsidRPr="00563B2C">
        <w:rPr>
          <w:rFonts w:eastAsia="MS Mincho"/>
          <w:szCs w:val="22"/>
          <w:lang w:eastAsia="ja-JP"/>
        </w:rPr>
        <w:t xml:space="preserve">5.3.1.3 Further, where a candidate variety can be distinguished in a reliable way from varieties of </w:t>
      </w:r>
      <w:proofErr w:type="gramStart"/>
      <w:r w:rsidRPr="00563B2C">
        <w:rPr>
          <w:rFonts w:eastAsia="MS Mincho"/>
          <w:szCs w:val="22"/>
          <w:lang w:eastAsia="ja-JP"/>
        </w:rPr>
        <w:t>common  knowledge</w:t>
      </w:r>
      <w:proofErr w:type="gramEnd"/>
      <w:r w:rsidRPr="00563B2C">
        <w:rPr>
          <w:rFonts w:eastAsia="MS Mincho"/>
          <w:szCs w:val="22"/>
          <w:lang w:eastAsia="ja-JP"/>
        </w:rPr>
        <w:t xml:space="preserve">,  by  comparing  documented  descriptions,  it  is  not  necessary  to  include  those varieties  of  common knowledge  in  a growing  trial with  the  respective candidate variety.   However, </w:t>
      </w:r>
      <w:proofErr w:type="gramStart"/>
      <w:r w:rsidRPr="00563B2C">
        <w:rPr>
          <w:rFonts w:eastAsia="MS Mincho"/>
          <w:szCs w:val="22"/>
          <w:lang w:eastAsia="ja-JP"/>
        </w:rPr>
        <w:t>where  there</w:t>
      </w:r>
      <w:proofErr w:type="gramEnd"/>
      <w:r w:rsidRPr="00563B2C">
        <w:rPr>
          <w:rFonts w:eastAsia="MS Mincho"/>
          <w:szCs w:val="22"/>
          <w:lang w:eastAsia="ja-JP"/>
        </w:rPr>
        <w:t xml:space="preserve">  is  no possibility  of clearly  distinguishing  them  from  the candidate variety,  the varieties should  be  compared  with  the  candidate  variety  in  a  growing  trial  or  other  appropriate test.    This emphasi</w:t>
      </w:r>
      <w:r w:rsidR="005C031D">
        <w:rPr>
          <w:rFonts w:eastAsia="MS Mincho"/>
          <w:szCs w:val="22"/>
          <w:lang w:eastAsia="ja-JP"/>
        </w:rPr>
        <w:t>s</w:t>
      </w:r>
      <w:r w:rsidRPr="00563B2C">
        <w:rPr>
          <w:rFonts w:eastAsia="MS Mincho"/>
          <w:szCs w:val="22"/>
          <w:lang w:eastAsia="ja-JP"/>
        </w:rPr>
        <w:t>es the importance of harmonization of variety descriptions in</w:t>
      </w:r>
      <w:r w:rsidR="00617AAA" w:rsidRPr="00563B2C">
        <w:rPr>
          <w:rFonts w:eastAsia="MS Mincho"/>
          <w:szCs w:val="22"/>
          <w:lang w:eastAsia="ja-JP"/>
        </w:rPr>
        <w:t xml:space="preserve"> </w:t>
      </w:r>
      <w:r w:rsidRPr="00563B2C">
        <w:rPr>
          <w:rFonts w:eastAsia="MS Mincho"/>
          <w:szCs w:val="22"/>
          <w:lang w:eastAsia="ja-JP"/>
        </w:rPr>
        <w:t>minimi</w:t>
      </w:r>
      <w:r w:rsidR="005C031D">
        <w:rPr>
          <w:rFonts w:eastAsia="MS Mincho"/>
          <w:szCs w:val="22"/>
          <w:lang w:eastAsia="ja-JP"/>
        </w:rPr>
        <w:t>s</w:t>
      </w:r>
      <w:r w:rsidRPr="00563B2C">
        <w:rPr>
          <w:rFonts w:eastAsia="MS Mincho"/>
          <w:szCs w:val="22"/>
          <w:lang w:eastAsia="ja-JP"/>
        </w:rPr>
        <w:t xml:space="preserve">ing the workload of the DUS examiner. </w:t>
      </w:r>
    </w:p>
    <w:p w14:paraId="5C38BE84" w14:textId="77777777" w:rsidR="009021DA" w:rsidRPr="00563B2C" w:rsidRDefault="009021DA" w:rsidP="005C031D">
      <w:pPr>
        <w:autoSpaceDE w:val="0"/>
        <w:autoSpaceDN w:val="0"/>
        <w:adjustRightInd w:val="0"/>
        <w:ind w:left="720" w:right="894"/>
        <w:rPr>
          <w:rFonts w:eastAsia="MS Mincho"/>
          <w:szCs w:val="22"/>
          <w:lang w:eastAsia="ja-JP"/>
        </w:rPr>
      </w:pPr>
    </w:p>
    <w:p w14:paraId="07F1C2FF" w14:textId="77777777" w:rsidR="009021DA" w:rsidRPr="003A5A8A" w:rsidRDefault="009021DA" w:rsidP="005C031D">
      <w:pPr>
        <w:autoSpaceDE w:val="0"/>
        <w:autoSpaceDN w:val="0"/>
        <w:adjustRightInd w:val="0"/>
        <w:ind w:left="720" w:right="894"/>
        <w:rPr>
          <w:rFonts w:eastAsia="MS Mincho"/>
          <w:b/>
          <w:szCs w:val="22"/>
          <w:lang w:eastAsia="ja-JP"/>
        </w:rPr>
      </w:pPr>
      <w:r w:rsidRPr="00563B2C">
        <w:rPr>
          <w:rFonts w:eastAsia="MS Mincho"/>
          <w:szCs w:val="22"/>
          <w:lang w:eastAsia="ja-JP"/>
        </w:rPr>
        <w:t xml:space="preserve">5.3.1.4 </w:t>
      </w:r>
      <w:proofErr w:type="gramStart"/>
      <w:r w:rsidRPr="00563B2C">
        <w:rPr>
          <w:rFonts w:eastAsia="MS Mincho"/>
          <w:szCs w:val="22"/>
          <w:lang w:eastAsia="ja-JP"/>
        </w:rPr>
        <w:t>To  help</w:t>
      </w:r>
      <w:proofErr w:type="gramEnd"/>
      <w:r w:rsidRPr="00563B2C">
        <w:rPr>
          <w:rFonts w:eastAsia="MS Mincho"/>
          <w:szCs w:val="22"/>
          <w:lang w:eastAsia="ja-JP"/>
        </w:rPr>
        <w:t xml:space="preserve">  in  the  process  of  examining  varieties,  certain  information  is  requested  from  the breeder, usually through a Technical Questionnaire to be submitted with the application.  The model Technical Questionnaire, included in the Test Guidelines, seeks information on specific characteristics of importance for distinguishing varieties, information on the breeding scheme of the variety and any other information which may help to distinguish the variety. </w:t>
      </w:r>
      <w:r w:rsidRPr="00563B2C">
        <w:rPr>
          <w:rFonts w:eastAsia="MS Mincho"/>
          <w:szCs w:val="22"/>
          <w:u w:val="single"/>
          <w:lang w:eastAsia="ja-JP"/>
        </w:rPr>
        <w:t>It also requests the breeder to identify similar varietie</w:t>
      </w:r>
      <w:r w:rsidR="00D727D9" w:rsidRPr="00563B2C">
        <w:rPr>
          <w:rFonts w:eastAsia="MS Mincho"/>
          <w:szCs w:val="22"/>
          <w:u w:val="single"/>
          <w:lang w:eastAsia="ja-JP"/>
        </w:rPr>
        <w:t xml:space="preserve">s and characteristics by which </w:t>
      </w:r>
      <w:r w:rsidRPr="00563B2C">
        <w:rPr>
          <w:rFonts w:eastAsia="MS Mincho"/>
          <w:szCs w:val="22"/>
          <w:u w:val="single"/>
          <w:lang w:eastAsia="ja-JP"/>
        </w:rPr>
        <w:t>the candidate may be distinguished from these similar</w:t>
      </w:r>
      <w:r w:rsidR="00D727D9" w:rsidRPr="00563B2C">
        <w:rPr>
          <w:rFonts w:eastAsia="MS Mincho"/>
          <w:szCs w:val="22"/>
          <w:u w:val="single"/>
          <w:lang w:eastAsia="ja-JP"/>
        </w:rPr>
        <w:t xml:space="preserve"> </w:t>
      </w:r>
      <w:r w:rsidRPr="00563B2C">
        <w:rPr>
          <w:rFonts w:eastAsia="MS Mincho"/>
          <w:szCs w:val="22"/>
          <w:u w:val="single"/>
          <w:lang w:eastAsia="ja-JP"/>
        </w:rPr>
        <w:t>varieties.</w:t>
      </w:r>
      <w:r w:rsidRPr="00563B2C">
        <w:rPr>
          <w:rFonts w:eastAsia="MS Mincho"/>
          <w:szCs w:val="22"/>
          <w:lang w:eastAsia="ja-JP"/>
        </w:rPr>
        <w:t xml:space="preserve"> </w:t>
      </w:r>
      <w:r w:rsidR="00D727D9" w:rsidRPr="00563B2C">
        <w:rPr>
          <w:rFonts w:eastAsia="MS Mincho"/>
          <w:szCs w:val="22"/>
          <w:lang w:eastAsia="ja-JP"/>
        </w:rPr>
        <w:t xml:space="preserve"> </w:t>
      </w:r>
    </w:p>
    <w:p w14:paraId="60D25979" w14:textId="77777777" w:rsidR="009021DA" w:rsidRPr="00563B2C" w:rsidRDefault="009021DA" w:rsidP="005C031D">
      <w:pPr>
        <w:autoSpaceDE w:val="0"/>
        <w:autoSpaceDN w:val="0"/>
        <w:adjustRightInd w:val="0"/>
        <w:ind w:left="720" w:right="894"/>
        <w:rPr>
          <w:rFonts w:eastAsia="MS Mincho"/>
          <w:szCs w:val="22"/>
          <w:lang w:eastAsia="ja-JP"/>
        </w:rPr>
      </w:pPr>
    </w:p>
    <w:p w14:paraId="00BF5093" w14:textId="77777777" w:rsidR="009021DA" w:rsidRPr="00563B2C" w:rsidRDefault="009021DA" w:rsidP="005C031D">
      <w:pPr>
        <w:autoSpaceDE w:val="0"/>
        <w:autoSpaceDN w:val="0"/>
        <w:adjustRightInd w:val="0"/>
        <w:ind w:left="720" w:right="894"/>
      </w:pPr>
      <w:r w:rsidRPr="00563B2C">
        <w:rPr>
          <w:rFonts w:eastAsia="MS Mincho"/>
          <w:szCs w:val="22"/>
          <w:lang w:eastAsia="ja-JP"/>
        </w:rPr>
        <w:t xml:space="preserve">5.3.1.5 Guidance for the management of variety collections is given in detail in document </w:t>
      </w:r>
      <w:r w:rsidRPr="00563B2C">
        <w:rPr>
          <w:rFonts w:eastAsia="MS Mincho"/>
          <w:szCs w:val="20"/>
          <w:lang w:eastAsia="ja-JP"/>
        </w:rPr>
        <w:t>TGP/</w:t>
      </w:r>
      <w:r w:rsidRPr="00563B2C">
        <w:rPr>
          <w:rFonts w:eastAsia="MS Mincho"/>
          <w:szCs w:val="22"/>
          <w:lang w:eastAsia="ja-JP"/>
        </w:rPr>
        <w:t>4, “</w:t>
      </w:r>
      <w:hyperlink r:id="rId13" w:history="1">
        <w:r w:rsidR="003A5A8A" w:rsidRPr="003A5A8A">
          <w:rPr>
            <w:rStyle w:val="Hyperlink"/>
            <w:rFonts w:eastAsia="MS Mincho"/>
            <w:szCs w:val="22"/>
            <w:lang w:eastAsia="ja-JP"/>
          </w:rPr>
          <w:t>Constitution and Maintenance</w:t>
        </w:r>
        <w:r w:rsidR="005C031D" w:rsidRPr="003A5A8A">
          <w:rPr>
            <w:rStyle w:val="Hyperlink"/>
            <w:rFonts w:eastAsia="MS Mincho"/>
            <w:szCs w:val="22"/>
            <w:lang w:eastAsia="ja-JP"/>
          </w:rPr>
          <w:t xml:space="preserve"> of Variety Collections</w:t>
        </w:r>
      </w:hyperlink>
      <w:r w:rsidR="005C031D">
        <w:rPr>
          <w:rFonts w:eastAsia="MS Mincho"/>
          <w:szCs w:val="22"/>
          <w:lang w:eastAsia="ja-JP"/>
        </w:rPr>
        <w:t>.”</w:t>
      </w:r>
    </w:p>
    <w:p w14:paraId="4682D42B" w14:textId="77777777" w:rsidR="007D6A79" w:rsidRDefault="00814F8F" w:rsidP="005C031D">
      <w:pPr>
        <w:pStyle w:val="Heading1"/>
        <w:spacing w:beforeLines="40" w:before="96" w:afterLines="40" w:after="96"/>
        <w:ind w:right="894"/>
        <w:rPr>
          <w:bCs/>
          <w:color w:val="000000"/>
          <w:szCs w:val="20"/>
          <w:u w:val="none"/>
        </w:rPr>
      </w:pPr>
      <w:r w:rsidRPr="00563B2C">
        <w:rPr>
          <w:bCs/>
          <w:color w:val="000000"/>
          <w:szCs w:val="20"/>
          <w:u w:val="none"/>
        </w:rPr>
        <w:t xml:space="preserve">It is noted that the Australian Breeder Testing system does not have a separate Technical </w:t>
      </w:r>
      <w:r w:rsidR="00DF63C3" w:rsidRPr="00563B2C">
        <w:rPr>
          <w:bCs/>
          <w:color w:val="000000"/>
          <w:szCs w:val="20"/>
          <w:u w:val="none"/>
        </w:rPr>
        <w:t>Questionnaire</w:t>
      </w:r>
      <w:r w:rsidRPr="00563B2C">
        <w:rPr>
          <w:bCs/>
          <w:color w:val="000000"/>
          <w:szCs w:val="20"/>
          <w:u w:val="none"/>
        </w:rPr>
        <w:t xml:space="preserve"> (as mentioned above) but includes relevant generic elements in the Part 1 Application Form and the specific grouping characteristics used to identify the most similar VCK, in the </w:t>
      </w:r>
      <w:r w:rsidR="00A435ED">
        <w:rPr>
          <w:bCs/>
          <w:color w:val="000000"/>
          <w:szCs w:val="20"/>
          <w:u w:val="none"/>
        </w:rPr>
        <w:t xml:space="preserve">variety’s </w:t>
      </w:r>
      <w:r w:rsidRPr="00563B2C">
        <w:rPr>
          <w:bCs/>
          <w:color w:val="000000"/>
          <w:szCs w:val="20"/>
          <w:u w:val="none"/>
        </w:rPr>
        <w:t>Detailed Description.</w:t>
      </w:r>
    </w:p>
    <w:p w14:paraId="24125B60" w14:textId="77777777" w:rsidR="00516D49" w:rsidRPr="00516D49" w:rsidRDefault="00516D49" w:rsidP="005C031D">
      <w:pPr>
        <w:ind w:right="894"/>
        <w:rPr>
          <w:lang w:eastAsia="en-US"/>
        </w:rPr>
      </w:pPr>
      <w:r>
        <w:rPr>
          <w:lang w:eastAsia="en-US"/>
        </w:rPr>
        <w:t xml:space="preserve">Once a new variety is clearly distinguished from </w:t>
      </w:r>
      <w:r w:rsidRPr="00A435ED">
        <w:rPr>
          <w:u w:val="single"/>
          <w:lang w:eastAsia="en-US"/>
        </w:rPr>
        <w:t xml:space="preserve">the </w:t>
      </w:r>
      <w:r w:rsidRPr="00516D49">
        <w:rPr>
          <w:u w:val="single"/>
          <w:lang w:eastAsia="en-US"/>
        </w:rPr>
        <w:t>most similar</w:t>
      </w:r>
      <w:r>
        <w:rPr>
          <w:u w:val="single"/>
          <w:lang w:eastAsia="en-US"/>
        </w:rPr>
        <w:t xml:space="preserve"> </w:t>
      </w:r>
      <w:r>
        <w:rPr>
          <w:lang w:eastAsia="en-US"/>
        </w:rPr>
        <w:t>VCK, logic dictates that it is also clearly distinct from all other VCK.</w:t>
      </w:r>
    </w:p>
    <w:p w14:paraId="6F484A70" w14:textId="77777777" w:rsidR="00A92E2D" w:rsidRPr="00563B2C" w:rsidRDefault="00A92E2D" w:rsidP="005C031D">
      <w:pPr>
        <w:ind w:right="894"/>
        <w:rPr>
          <w:lang w:eastAsia="en-US"/>
        </w:rPr>
      </w:pPr>
    </w:p>
    <w:p w14:paraId="435C9F5A" w14:textId="77777777" w:rsidR="00B36817" w:rsidRPr="00563B2C" w:rsidRDefault="00B36817" w:rsidP="005C031D">
      <w:pPr>
        <w:numPr>
          <w:ilvl w:val="0"/>
          <w:numId w:val="1"/>
        </w:numPr>
        <w:spacing w:beforeLines="40" w:before="96" w:afterLines="40" w:after="96"/>
        <w:ind w:right="894"/>
        <w:rPr>
          <w:rFonts w:eastAsia="MS Mincho"/>
          <w:lang w:eastAsia="ja-JP"/>
        </w:rPr>
      </w:pPr>
      <w:r w:rsidRPr="00563B2C">
        <w:rPr>
          <w:rFonts w:eastAsia="MS Mincho"/>
          <w:lang w:eastAsia="ja-JP"/>
        </w:rPr>
        <w:t xml:space="preserve">The QP uses a process of elimination </w:t>
      </w:r>
      <w:r w:rsidR="00516D49">
        <w:rPr>
          <w:rFonts w:eastAsia="MS Mincho"/>
          <w:lang w:eastAsia="ja-JP"/>
        </w:rPr>
        <w:t xml:space="preserve">to </w:t>
      </w:r>
      <w:r w:rsidRPr="00563B2C">
        <w:rPr>
          <w:rFonts w:eastAsia="MS Mincho"/>
          <w:lang w:eastAsia="ja-JP"/>
        </w:rPr>
        <w:t xml:space="preserve">identify the most similar </w:t>
      </w:r>
      <w:r w:rsidR="002F4C05">
        <w:rPr>
          <w:rFonts w:eastAsia="MS Mincho"/>
          <w:lang w:eastAsia="ja-JP"/>
        </w:rPr>
        <w:t xml:space="preserve">VCK </w:t>
      </w:r>
      <w:r w:rsidRPr="00563B2C">
        <w:rPr>
          <w:rFonts w:eastAsia="MS Mincho"/>
          <w:lang w:eastAsia="ja-JP"/>
        </w:rPr>
        <w:t>for the comparative trial using a range of factors including, but not limited to:</w:t>
      </w:r>
    </w:p>
    <w:p w14:paraId="535A127D" w14:textId="77777777" w:rsidR="00B36817" w:rsidRPr="00563B2C" w:rsidRDefault="00B36817" w:rsidP="005C031D">
      <w:pPr>
        <w:numPr>
          <w:ilvl w:val="0"/>
          <w:numId w:val="5"/>
        </w:numPr>
        <w:autoSpaceDE w:val="0"/>
        <w:autoSpaceDN w:val="0"/>
        <w:adjustRightInd w:val="0"/>
        <w:ind w:right="894"/>
        <w:rPr>
          <w:rFonts w:eastAsia="MS Mincho"/>
          <w:lang w:eastAsia="ja-JP"/>
        </w:rPr>
      </w:pPr>
      <w:r w:rsidRPr="00563B2C">
        <w:rPr>
          <w:rFonts w:eastAsia="MS Mincho"/>
          <w:lang w:eastAsia="ja-JP"/>
        </w:rPr>
        <w:t xml:space="preserve">UPOV grouping </w:t>
      </w:r>
      <w:proofErr w:type="gramStart"/>
      <w:r w:rsidRPr="00563B2C">
        <w:rPr>
          <w:rFonts w:eastAsia="MS Mincho"/>
          <w:lang w:eastAsia="ja-JP"/>
        </w:rPr>
        <w:t>characteristics;</w:t>
      </w:r>
      <w:proofErr w:type="gramEnd"/>
    </w:p>
    <w:p w14:paraId="41843A99" w14:textId="77777777" w:rsidR="00C345B0" w:rsidRPr="00563B2C" w:rsidRDefault="00C345B0" w:rsidP="005C031D">
      <w:pPr>
        <w:numPr>
          <w:ilvl w:val="0"/>
          <w:numId w:val="5"/>
        </w:numPr>
        <w:autoSpaceDE w:val="0"/>
        <w:autoSpaceDN w:val="0"/>
        <w:adjustRightInd w:val="0"/>
        <w:ind w:right="894"/>
        <w:rPr>
          <w:rFonts w:eastAsia="MS Mincho"/>
          <w:lang w:eastAsia="ja-JP"/>
        </w:rPr>
      </w:pPr>
      <w:r w:rsidRPr="00563B2C">
        <w:rPr>
          <w:rFonts w:eastAsia="MS Mincho"/>
          <w:lang w:eastAsia="ja-JP"/>
        </w:rPr>
        <w:t xml:space="preserve">Parental/source </w:t>
      </w:r>
      <w:proofErr w:type="gramStart"/>
      <w:r w:rsidRPr="00563B2C">
        <w:rPr>
          <w:rFonts w:eastAsia="MS Mincho"/>
          <w:lang w:eastAsia="ja-JP"/>
        </w:rPr>
        <w:t>material;</w:t>
      </w:r>
      <w:proofErr w:type="gramEnd"/>
    </w:p>
    <w:p w14:paraId="08C8DCB9" w14:textId="77777777" w:rsidR="00B36817" w:rsidRPr="00563B2C" w:rsidRDefault="00B36817" w:rsidP="005C031D">
      <w:pPr>
        <w:numPr>
          <w:ilvl w:val="0"/>
          <w:numId w:val="5"/>
        </w:numPr>
        <w:autoSpaceDE w:val="0"/>
        <w:autoSpaceDN w:val="0"/>
        <w:adjustRightInd w:val="0"/>
        <w:ind w:right="894"/>
        <w:rPr>
          <w:rFonts w:eastAsia="MS Mincho"/>
          <w:lang w:eastAsia="ja-JP"/>
        </w:rPr>
      </w:pPr>
      <w:r w:rsidRPr="00563B2C">
        <w:rPr>
          <w:rFonts w:eastAsia="MS Mincho"/>
          <w:lang w:eastAsia="ja-JP"/>
        </w:rPr>
        <w:t xml:space="preserve">List of PBR </w:t>
      </w:r>
      <w:proofErr w:type="gramStart"/>
      <w:r w:rsidRPr="00563B2C">
        <w:rPr>
          <w:rFonts w:eastAsia="MS Mincho"/>
          <w:lang w:eastAsia="ja-JP"/>
        </w:rPr>
        <w:t>varieties;</w:t>
      </w:r>
      <w:proofErr w:type="gramEnd"/>
    </w:p>
    <w:p w14:paraId="1CC85038" w14:textId="77777777" w:rsidR="00B36817" w:rsidRPr="00563B2C" w:rsidRDefault="00B36817" w:rsidP="005C031D">
      <w:pPr>
        <w:numPr>
          <w:ilvl w:val="0"/>
          <w:numId w:val="5"/>
        </w:numPr>
        <w:autoSpaceDE w:val="0"/>
        <w:autoSpaceDN w:val="0"/>
        <w:adjustRightInd w:val="0"/>
        <w:ind w:right="894"/>
        <w:rPr>
          <w:rFonts w:eastAsia="MS Mincho"/>
          <w:lang w:eastAsia="ja-JP"/>
        </w:rPr>
      </w:pPr>
      <w:r w:rsidRPr="00563B2C">
        <w:rPr>
          <w:rFonts w:eastAsia="MS Mincho"/>
          <w:lang w:eastAsia="ja-JP"/>
        </w:rPr>
        <w:lastRenderedPageBreak/>
        <w:t xml:space="preserve">List of other existing </w:t>
      </w:r>
      <w:proofErr w:type="gramStart"/>
      <w:r w:rsidRPr="00563B2C">
        <w:rPr>
          <w:rFonts w:eastAsia="MS Mincho"/>
          <w:lang w:eastAsia="ja-JP"/>
        </w:rPr>
        <w:t>varieties;</w:t>
      </w:r>
      <w:proofErr w:type="gramEnd"/>
    </w:p>
    <w:p w14:paraId="4BBA31DC" w14:textId="77777777" w:rsidR="00B36817" w:rsidRPr="00563B2C" w:rsidRDefault="00A435ED" w:rsidP="005C031D">
      <w:pPr>
        <w:numPr>
          <w:ilvl w:val="0"/>
          <w:numId w:val="5"/>
        </w:numPr>
        <w:autoSpaceDE w:val="0"/>
        <w:autoSpaceDN w:val="0"/>
        <w:adjustRightInd w:val="0"/>
        <w:ind w:right="894"/>
        <w:rPr>
          <w:rFonts w:eastAsia="MS Mincho"/>
          <w:lang w:eastAsia="ja-JP"/>
        </w:rPr>
      </w:pPr>
      <w:r>
        <w:rPr>
          <w:rFonts w:eastAsia="MS Mincho"/>
          <w:lang w:eastAsia="ja-JP"/>
        </w:rPr>
        <w:t xml:space="preserve">Variety information </w:t>
      </w:r>
      <w:r w:rsidR="00B36817" w:rsidRPr="00563B2C">
        <w:rPr>
          <w:rFonts w:eastAsia="MS Mincho"/>
          <w:lang w:eastAsia="ja-JP"/>
        </w:rPr>
        <w:t>from the PBR office</w:t>
      </w:r>
      <w:r w:rsidR="00C345B0">
        <w:rPr>
          <w:rFonts w:eastAsia="MS Mincho"/>
          <w:lang w:eastAsia="ja-JP"/>
        </w:rPr>
        <w:t xml:space="preserve"> </w:t>
      </w:r>
      <w:r>
        <w:rPr>
          <w:rFonts w:eastAsia="MS Mincho"/>
          <w:lang w:eastAsia="ja-JP"/>
        </w:rPr>
        <w:t>(</w:t>
      </w:r>
      <w:proofErr w:type="gramStart"/>
      <w:r>
        <w:rPr>
          <w:rFonts w:eastAsia="MS Mincho"/>
          <w:lang w:eastAsia="ja-JP"/>
        </w:rPr>
        <w:t>eg</w:t>
      </w:r>
      <w:proofErr w:type="gramEnd"/>
      <w:r>
        <w:rPr>
          <w:rFonts w:eastAsia="MS Mincho"/>
          <w:lang w:eastAsia="ja-JP"/>
        </w:rPr>
        <w:t xml:space="preserve"> extracted </w:t>
      </w:r>
      <w:r w:rsidR="003078AC">
        <w:rPr>
          <w:rFonts w:eastAsia="MS Mincho"/>
          <w:lang w:eastAsia="ja-JP"/>
        </w:rPr>
        <w:t>from the IVDS</w:t>
      </w:r>
      <w:r>
        <w:rPr>
          <w:rFonts w:eastAsia="MS Mincho"/>
          <w:lang w:eastAsia="ja-JP"/>
        </w:rPr>
        <w:t xml:space="preserve"> of Plant Varieties Journal</w:t>
      </w:r>
      <w:r w:rsidR="00B36817" w:rsidRPr="00563B2C">
        <w:rPr>
          <w:rFonts w:eastAsia="MS Mincho"/>
          <w:lang w:eastAsia="ja-JP"/>
        </w:rPr>
        <w:t>;</w:t>
      </w:r>
    </w:p>
    <w:p w14:paraId="4117A3A2" w14:textId="77777777" w:rsidR="00B36817" w:rsidRPr="00563B2C" w:rsidRDefault="00B36817" w:rsidP="005C031D">
      <w:pPr>
        <w:numPr>
          <w:ilvl w:val="0"/>
          <w:numId w:val="5"/>
        </w:numPr>
        <w:autoSpaceDE w:val="0"/>
        <w:autoSpaceDN w:val="0"/>
        <w:adjustRightInd w:val="0"/>
        <w:ind w:right="894"/>
      </w:pPr>
      <w:r w:rsidRPr="00563B2C">
        <w:rPr>
          <w:rFonts w:eastAsia="MS Mincho"/>
          <w:lang w:eastAsia="ja-JP"/>
        </w:rPr>
        <w:t xml:space="preserve">Personal experience with the </w:t>
      </w:r>
      <w:proofErr w:type="gramStart"/>
      <w:r w:rsidRPr="00563B2C">
        <w:rPr>
          <w:rFonts w:eastAsia="MS Mincho"/>
          <w:lang w:eastAsia="ja-JP"/>
        </w:rPr>
        <w:t>species;</w:t>
      </w:r>
      <w:proofErr w:type="gramEnd"/>
    </w:p>
    <w:p w14:paraId="42ED481B" w14:textId="77777777" w:rsidR="002F4C05" w:rsidRPr="002F4C05" w:rsidRDefault="00B36817" w:rsidP="005C031D">
      <w:pPr>
        <w:numPr>
          <w:ilvl w:val="0"/>
          <w:numId w:val="5"/>
        </w:numPr>
        <w:autoSpaceDE w:val="0"/>
        <w:autoSpaceDN w:val="0"/>
        <w:adjustRightInd w:val="0"/>
        <w:ind w:right="894"/>
      </w:pPr>
      <w:r w:rsidRPr="00563B2C">
        <w:rPr>
          <w:rFonts w:eastAsia="MS Mincho"/>
          <w:lang w:eastAsia="ja-JP"/>
        </w:rPr>
        <w:t>From other published information.</w:t>
      </w:r>
    </w:p>
    <w:p w14:paraId="23F40DE0" w14:textId="77777777" w:rsidR="00516D49" w:rsidRDefault="00563E94" w:rsidP="005C031D">
      <w:pPr>
        <w:numPr>
          <w:ilvl w:val="2"/>
          <w:numId w:val="1"/>
        </w:numPr>
        <w:spacing w:beforeLines="40" w:before="96" w:afterLines="40" w:after="96"/>
        <w:ind w:right="894"/>
      </w:pPr>
      <w:r>
        <w:t xml:space="preserve">QPs </w:t>
      </w:r>
      <w:proofErr w:type="gramStart"/>
      <w:r>
        <w:t>are able to</w:t>
      </w:r>
      <w:proofErr w:type="gramEnd"/>
      <w:r>
        <w:t xml:space="preserve"> exclude VCK</w:t>
      </w:r>
      <w:r w:rsidRPr="002F4C05">
        <w:t xml:space="preserve"> from trials if </w:t>
      </w:r>
      <w:r>
        <w:t xml:space="preserve">they are able to confidently </w:t>
      </w:r>
      <w:r w:rsidRPr="002F4C05">
        <w:t xml:space="preserve">distinguish differences </w:t>
      </w:r>
      <w:r>
        <w:t xml:space="preserve">and therefore </w:t>
      </w:r>
      <w:r w:rsidRPr="002F4C05">
        <w:t>do not require a</w:t>
      </w:r>
      <w:r>
        <w:t xml:space="preserve"> </w:t>
      </w:r>
      <w:r w:rsidRPr="002F4C05">
        <w:t>comparative growing trial as evidence.</w:t>
      </w:r>
      <w:r w:rsidR="00516D49" w:rsidRPr="00516D49">
        <w:t xml:space="preserve"> </w:t>
      </w:r>
    </w:p>
    <w:p w14:paraId="64C50A96" w14:textId="77777777" w:rsidR="002F4C05" w:rsidRDefault="00516D49" w:rsidP="005C031D">
      <w:pPr>
        <w:numPr>
          <w:ilvl w:val="2"/>
          <w:numId w:val="1"/>
        </w:numPr>
        <w:spacing w:beforeLines="40" w:before="96" w:afterLines="40" w:after="96"/>
        <w:ind w:right="894"/>
      </w:pPr>
      <w:r w:rsidRPr="002F4C05">
        <w:t>If there are no other varieties in cultivation,</w:t>
      </w:r>
      <w:r>
        <w:t xml:space="preserve"> QPs</w:t>
      </w:r>
      <w:r w:rsidRPr="002F4C05">
        <w:t xml:space="preserve"> should compare their new varieties with</w:t>
      </w:r>
      <w:r>
        <w:t xml:space="preserve"> </w:t>
      </w:r>
      <w:r w:rsidRPr="002F4C05">
        <w:t xml:space="preserve">the </w:t>
      </w:r>
      <w:r>
        <w:t>parental/source material</w:t>
      </w:r>
      <w:r w:rsidR="00BC134C">
        <w:t xml:space="preserve"> and/or similar ecotypes.</w:t>
      </w:r>
    </w:p>
    <w:p w14:paraId="76340FE1" w14:textId="77777777" w:rsidR="00B36817" w:rsidRPr="00563B2C" w:rsidRDefault="00B36817" w:rsidP="005C031D">
      <w:pPr>
        <w:numPr>
          <w:ilvl w:val="1"/>
          <w:numId w:val="1"/>
        </w:numPr>
        <w:spacing w:beforeLines="40" w:before="96" w:afterLines="40" w:after="96"/>
        <w:ind w:right="894"/>
      </w:pPr>
      <w:r w:rsidRPr="00563B2C">
        <w:t xml:space="preserve">The QP is required to justify their rationale for their selection of VCK by publishing the relevant information in the </w:t>
      </w:r>
      <w:r w:rsidRPr="00563B2C">
        <w:rPr>
          <w:i/>
        </w:rPr>
        <w:t>Grouping Characteristics</w:t>
      </w:r>
      <w:r w:rsidRPr="00563B2C">
        <w:t xml:space="preserve"> and/or the </w:t>
      </w:r>
      <w:r w:rsidRPr="00563B2C">
        <w:rPr>
          <w:i/>
        </w:rPr>
        <w:t>Varieties Subsequently Excluded</w:t>
      </w:r>
      <w:r w:rsidRPr="00563B2C">
        <w:t xml:space="preserve"> section(s) of the Detailed Description.  </w:t>
      </w:r>
    </w:p>
    <w:p w14:paraId="46522073" w14:textId="77777777" w:rsidR="00CB3A71" w:rsidRDefault="00CB3A71" w:rsidP="005C031D">
      <w:pPr>
        <w:numPr>
          <w:ilvl w:val="2"/>
          <w:numId w:val="1"/>
        </w:numPr>
        <w:spacing w:beforeLines="40" w:before="96" w:afterLines="40" w:after="96"/>
        <w:ind w:right="894"/>
      </w:pPr>
      <w:bookmarkStart w:id="0" w:name="_Ref298582461"/>
      <w:r w:rsidRPr="00563B2C">
        <w:t xml:space="preserve">The PBR examiner ensures that the detailed description (of the candidate and VCK) is consistent with the states of expression cited in the </w:t>
      </w:r>
      <w:r w:rsidR="00835F4B">
        <w:rPr>
          <w:i/>
        </w:rPr>
        <w:t xml:space="preserve">Choice of Comparators </w:t>
      </w:r>
      <w:r w:rsidRPr="00563B2C">
        <w:t>section.</w:t>
      </w:r>
      <w:bookmarkEnd w:id="0"/>
      <w:r w:rsidR="00835F4B">
        <w:t xml:space="preserve">  Any inconsistencies</w:t>
      </w:r>
      <w:r w:rsidR="004A0591">
        <w:t>/deficiencies</w:t>
      </w:r>
      <w:r w:rsidR="00835F4B">
        <w:t xml:space="preserve"> are identified, </w:t>
      </w:r>
      <w:proofErr w:type="gramStart"/>
      <w:r w:rsidR="00835F4B">
        <w:t>marked</w:t>
      </w:r>
      <w:proofErr w:type="gramEnd"/>
      <w:r w:rsidR="00835F4B">
        <w:t xml:space="preserve"> and returned to the QP for </w:t>
      </w:r>
      <w:r w:rsidR="00BC134C">
        <w:t>consideration and rectification before publication.</w:t>
      </w:r>
    </w:p>
    <w:p w14:paraId="57B3C367" w14:textId="77777777" w:rsidR="00BC134C" w:rsidRDefault="00BC134C" w:rsidP="005C031D">
      <w:pPr>
        <w:numPr>
          <w:ilvl w:val="2"/>
          <w:numId w:val="1"/>
        </w:numPr>
        <w:spacing w:beforeLines="40" w:before="96" w:afterLines="40" w:after="96"/>
        <w:ind w:right="894"/>
      </w:pPr>
      <w:r>
        <w:t>Wher</w:t>
      </w:r>
      <w:r w:rsidR="003A5A8A">
        <w:t xml:space="preserve">e </w:t>
      </w:r>
      <w:r>
        <w:t xml:space="preserve">necessary, the PBR examiner can require that a </w:t>
      </w:r>
      <w:r w:rsidR="00AE360D">
        <w:t xml:space="preserve">trial or </w:t>
      </w:r>
      <w:r>
        <w:t xml:space="preserve">further test growing </w:t>
      </w:r>
      <w:r w:rsidR="003A5A8A">
        <w:t xml:space="preserve">be conducted that </w:t>
      </w:r>
      <w:r>
        <w:t xml:space="preserve">includes specified comparators. </w:t>
      </w:r>
    </w:p>
    <w:p w14:paraId="265C2847" w14:textId="77777777" w:rsidR="008A71B3" w:rsidRPr="00215F98" w:rsidRDefault="00054A10" w:rsidP="005C031D">
      <w:pPr>
        <w:numPr>
          <w:ilvl w:val="2"/>
          <w:numId w:val="1"/>
        </w:numPr>
        <w:autoSpaceDE w:val="0"/>
        <w:autoSpaceDN w:val="0"/>
        <w:adjustRightInd w:val="0"/>
        <w:spacing w:beforeLines="40" w:before="96" w:afterLines="40" w:after="96"/>
        <w:ind w:left="1080" w:right="894"/>
        <w:rPr>
          <w:rFonts w:eastAsia="MS Mincho"/>
          <w:lang w:eastAsia="ja-JP"/>
        </w:rPr>
      </w:pPr>
      <w:r>
        <w:t>T</w:t>
      </w:r>
      <w:r w:rsidR="00AE360D">
        <w:t>he situations where specified compar</w:t>
      </w:r>
      <w:r w:rsidR="00D864F6">
        <w:t xml:space="preserve">ators might be required include </w:t>
      </w:r>
      <w:r w:rsidR="00AE360D">
        <w:t xml:space="preserve">where differences between the candidate and proposed </w:t>
      </w:r>
      <w:r>
        <w:t>VCK</w:t>
      </w:r>
      <w:r w:rsidR="00AE360D">
        <w:t xml:space="preserve"> are significant and there is evidence that a more similar </w:t>
      </w:r>
      <w:r>
        <w:t>VCK</w:t>
      </w:r>
      <w:r w:rsidR="00AE360D">
        <w:t xml:space="preserve"> exists </w:t>
      </w:r>
      <w:r w:rsidR="00D864F6">
        <w:t xml:space="preserve">that cannot be </w:t>
      </w:r>
      <w:r>
        <w:t xml:space="preserve">clearly </w:t>
      </w:r>
      <w:r w:rsidR="00D864F6">
        <w:t>excluded based on qualitative characteristics.</w:t>
      </w:r>
      <w:r w:rsidR="008A71B3">
        <w:t xml:space="preserve"> </w:t>
      </w:r>
      <w:r w:rsidR="00D864F6">
        <w:t xml:space="preserve"> </w:t>
      </w:r>
      <w:proofErr w:type="gramStart"/>
      <w:r w:rsidR="008A71B3">
        <w:t>Usually</w:t>
      </w:r>
      <w:proofErr w:type="gramEnd"/>
      <w:r w:rsidR="008A71B3">
        <w:t xml:space="preserve"> these characteristics would be those included </w:t>
      </w:r>
      <w:r w:rsidR="00326E46">
        <w:t xml:space="preserve">for grouping </w:t>
      </w:r>
      <w:r w:rsidR="008A71B3">
        <w:t>in the</w:t>
      </w:r>
      <w:r w:rsidR="00326E46">
        <w:t xml:space="preserve"> relevant </w:t>
      </w:r>
      <w:r w:rsidR="008A71B3">
        <w:t xml:space="preserve">Test Guideline or National Descriptor. </w:t>
      </w:r>
      <w:r w:rsidR="00AE360D">
        <w:t xml:space="preserve"> </w:t>
      </w:r>
    </w:p>
    <w:p w14:paraId="3881E7D0" w14:textId="77777777" w:rsidR="00326E46" w:rsidRPr="00215F98" w:rsidRDefault="00326E46" w:rsidP="005C031D">
      <w:pPr>
        <w:numPr>
          <w:ilvl w:val="2"/>
          <w:numId w:val="1"/>
        </w:numPr>
        <w:autoSpaceDE w:val="0"/>
        <w:autoSpaceDN w:val="0"/>
        <w:adjustRightInd w:val="0"/>
        <w:spacing w:beforeLines="40" w:before="96" w:afterLines="40" w:after="96"/>
        <w:ind w:left="1080" w:right="894"/>
        <w:rPr>
          <w:rFonts w:eastAsia="MS Mincho"/>
          <w:lang w:eastAsia="ja-JP"/>
        </w:rPr>
      </w:pPr>
      <w:r>
        <w:t>Where necessary it is appropriate to reasonably extend provisional protection to allow specified comparators to be sourced and established in a comparative trial.</w:t>
      </w:r>
    </w:p>
    <w:p w14:paraId="6AA6DCFE" w14:textId="77777777" w:rsidR="00326E46" w:rsidRPr="00215F98" w:rsidRDefault="00326E46" w:rsidP="005C031D">
      <w:pPr>
        <w:numPr>
          <w:ilvl w:val="2"/>
          <w:numId w:val="1"/>
        </w:numPr>
        <w:autoSpaceDE w:val="0"/>
        <w:autoSpaceDN w:val="0"/>
        <w:adjustRightInd w:val="0"/>
        <w:spacing w:beforeLines="40" w:before="96" w:afterLines="40" w:after="96"/>
        <w:ind w:left="1080" w:right="894"/>
        <w:rPr>
          <w:rFonts w:eastAsia="MS Mincho"/>
          <w:lang w:eastAsia="ja-JP"/>
        </w:rPr>
      </w:pPr>
      <w:r>
        <w:t xml:space="preserve">Other situations where specified comparators may be required includes where it is necessary to resolve </w:t>
      </w:r>
      <w:r w:rsidR="00B36105">
        <w:t>a comment or</w:t>
      </w:r>
      <w:r>
        <w:t xml:space="preserve"> objection even though the circumstances may not be the same as in 4.2.3.</w:t>
      </w:r>
      <w:r w:rsidR="00B36105">
        <w:t xml:space="preserve"> </w:t>
      </w:r>
    </w:p>
    <w:p w14:paraId="1E78F296" w14:textId="77777777" w:rsidR="00215F98" w:rsidRPr="00563B2C" w:rsidRDefault="00506876" w:rsidP="005C031D">
      <w:pPr>
        <w:numPr>
          <w:ilvl w:val="2"/>
          <w:numId w:val="1"/>
        </w:numPr>
        <w:autoSpaceDE w:val="0"/>
        <w:autoSpaceDN w:val="0"/>
        <w:adjustRightInd w:val="0"/>
        <w:spacing w:beforeLines="40" w:before="96" w:afterLines="40" w:after="96"/>
        <w:ind w:left="1080" w:right="894"/>
        <w:rPr>
          <w:lang w:eastAsia="en-US"/>
        </w:rPr>
      </w:pPr>
      <w:r>
        <w:t xml:space="preserve">Further guidance on variety comparisons can be found in </w:t>
      </w:r>
      <w:hyperlink r:id="rId14" w:history="1">
        <w:r w:rsidRPr="003A5A8A">
          <w:rPr>
            <w:rStyle w:val="Hyperlink"/>
          </w:rPr>
          <w:t>TGP/9/1</w:t>
        </w:r>
      </w:hyperlink>
      <w:r>
        <w:t xml:space="preserve">, </w:t>
      </w:r>
      <w:proofErr w:type="gramStart"/>
      <w:r>
        <w:t>in particular</w:t>
      </w:r>
      <w:r w:rsidR="00326E46">
        <w:t xml:space="preserve"> </w:t>
      </w:r>
      <w:r>
        <w:t>Section</w:t>
      </w:r>
      <w:proofErr w:type="gramEnd"/>
      <w:r>
        <w:t xml:space="preserve"> 6: Supplementary Procedures.</w:t>
      </w:r>
      <w:r w:rsidR="00326E46">
        <w:br/>
      </w:r>
    </w:p>
    <w:p w14:paraId="20FF3711" w14:textId="77777777" w:rsidR="007D6A79" w:rsidRPr="00563B2C" w:rsidRDefault="00BC134C" w:rsidP="005C031D">
      <w:pPr>
        <w:spacing w:beforeLines="40" w:before="96" w:afterLines="40" w:after="96"/>
        <w:rPr>
          <w:b/>
          <w:szCs w:val="20"/>
        </w:rPr>
      </w:pPr>
      <w:r>
        <w:rPr>
          <w:b/>
        </w:rPr>
        <w:br w:type="page"/>
      </w:r>
    </w:p>
    <w:p w14:paraId="79F04118" w14:textId="77777777" w:rsidR="00215F98" w:rsidRPr="00A05699" w:rsidRDefault="00215F98" w:rsidP="00215F98">
      <w:pPr>
        <w:rPr>
          <w:rFonts w:ascii="Humnst777 Lt BT" w:hAnsi="Humnst777 Lt BT"/>
          <w:b/>
        </w:rPr>
      </w:pPr>
    </w:p>
    <w:p w14:paraId="10FE1F39" w14:textId="77777777" w:rsidR="00215F98" w:rsidRPr="004E1E6C" w:rsidRDefault="00215F98" w:rsidP="00215F98">
      <w:pPr>
        <w:rPr>
          <w:rFonts w:ascii="Arial" w:hAnsi="Arial" w:cs="Arial"/>
          <w:b/>
        </w:rPr>
      </w:pPr>
      <w:r w:rsidRPr="004E1E6C">
        <w:rPr>
          <w:rFonts w:ascii="Arial" w:hAnsi="Arial" w:cs="Arial"/>
          <w:b/>
        </w:rPr>
        <w:t>REVISION HISTORY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1053"/>
        <w:gridCol w:w="6533"/>
        <w:gridCol w:w="985"/>
      </w:tblGrid>
      <w:tr w:rsidR="00215F98" w:rsidRPr="004E1E6C" w14:paraId="2BBCE80B" w14:textId="77777777" w:rsidTr="000D1817">
        <w:tblPrEx>
          <w:tblCellMar>
            <w:top w:w="0" w:type="dxa"/>
            <w:bottom w:w="0" w:type="dxa"/>
          </w:tblCellMar>
        </w:tblPrEx>
        <w:trPr>
          <w:tblHeader/>
        </w:trPr>
        <w:tc>
          <w:tcPr>
            <w:tcW w:w="0" w:type="auto"/>
            <w:vAlign w:val="bottom"/>
          </w:tcPr>
          <w:p w14:paraId="00007799" w14:textId="77777777" w:rsidR="00215F98" w:rsidRPr="004E1E6C" w:rsidRDefault="00215F98" w:rsidP="000D1817">
            <w:pPr>
              <w:spacing w:before="60" w:after="60"/>
              <w:rPr>
                <w:rFonts w:ascii="Arial" w:hAnsi="Arial" w:cs="Arial"/>
                <w:smallCaps/>
                <w:sz w:val="22"/>
                <w:szCs w:val="22"/>
              </w:rPr>
            </w:pPr>
            <w:r w:rsidRPr="004E1E6C">
              <w:rPr>
                <w:rFonts w:ascii="Arial" w:hAnsi="Arial" w:cs="Arial"/>
                <w:smallCaps/>
                <w:sz w:val="22"/>
                <w:szCs w:val="22"/>
              </w:rPr>
              <w:t>Date</w:t>
            </w:r>
          </w:p>
        </w:tc>
        <w:tc>
          <w:tcPr>
            <w:tcW w:w="0" w:type="auto"/>
            <w:vAlign w:val="bottom"/>
          </w:tcPr>
          <w:p w14:paraId="2CF8CA4D" w14:textId="77777777" w:rsidR="00215F98" w:rsidRPr="004E1E6C" w:rsidRDefault="00215F98" w:rsidP="000D1817">
            <w:pPr>
              <w:spacing w:before="60" w:after="60"/>
              <w:rPr>
                <w:rFonts w:ascii="Arial" w:hAnsi="Arial" w:cs="Arial"/>
                <w:smallCaps/>
                <w:sz w:val="22"/>
                <w:szCs w:val="22"/>
              </w:rPr>
            </w:pPr>
            <w:r w:rsidRPr="004E1E6C">
              <w:rPr>
                <w:rFonts w:ascii="Arial" w:hAnsi="Arial" w:cs="Arial"/>
                <w:smallCaps/>
                <w:sz w:val="22"/>
                <w:szCs w:val="22"/>
              </w:rPr>
              <w:t>Version</w:t>
            </w:r>
          </w:p>
        </w:tc>
        <w:tc>
          <w:tcPr>
            <w:tcW w:w="7316" w:type="dxa"/>
            <w:vAlign w:val="bottom"/>
          </w:tcPr>
          <w:p w14:paraId="5F75BBC5" w14:textId="77777777" w:rsidR="00215F98" w:rsidRPr="004E1E6C" w:rsidRDefault="00215F98" w:rsidP="000D1817">
            <w:pPr>
              <w:spacing w:before="60" w:after="60"/>
              <w:rPr>
                <w:rFonts w:ascii="Arial" w:hAnsi="Arial" w:cs="Arial"/>
                <w:smallCaps/>
                <w:sz w:val="22"/>
                <w:szCs w:val="22"/>
              </w:rPr>
            </w:pPr>
            <w:r w:rsidRPr="004E1E6C">
              <w:rPr>
                <w:rFonts w:ascii="Arial" w:hAnsi="Arial" w:cs="Arial"/>
                <w:smallCaps/>
                <w:sz w:val="22"/>
                <w:szCs w:val="22"/>
              </w:rPr>
              <w:t>Changes</w:t>
            </w:r>
          </w:p>
        </w:tc>
        <w:tc>
          <w:tcPr>
            <w:tcW w:w="992" w:type="dxa"/>
          </w:tcPr>
          <w:p w14:paraId="42B16D5A" w14:textId="77777777" w:rsidR="00215F98" w:rsidRPr="004E1E6C" w:rsidRDefault="00215F98" w:rsidP="000D1817">
            <w:pPr>
              <w:spacing w:before="60" w:after="60"/>
              <w:rPr>
                <w:rFonts w:ascii="Arial" w:hAnsi="Arial" w:cs="Arial"/>
                <w:smallCaps/>
                <w:sz w:val="22"/>
                <w:szCs w:val="22"/>
              </w:rPr>
            </w:pPr>
            <w:r w:rsidRPr="004E1E6C">
              <w:rPr>
                <w:rFonts w:ascii="Arial" w:hAnsi="Arial" w:cs="Arial"/>
                <w:smallCaps/>
                <w:sz w:val="22"/>
                <w:szCs w:val="22"/>
              </w:rPr>
              <w:t>initials</w:t>
            </w:r>
          </w:p>
        </w:tc>
      </w:tr>
      <w:tr w:rsidR="00215F98" w:rsidRPr="004E1E6C" w14:paraId="6B5A3031" w14:textId="77777777" w:rsidTr="000D1817">
        <w:tblPrEx>
          <w:tblCellMar>
            <w:top w:w="0" w:type="dxa"/>
            <w:bottom w:w="0" w:type="dxa"/>
          </w:tblCellMar>
        </w:tblPrEx>
        <w:tc>
          <w:tcPr>
            <w:tcW w:w="0" w:type="auto"/>
          </w:tcPr>
          <w:p w14:paraId="091EB961" w14:textId="77777777" w:rsidR="00215F98" w:rsidRPr="004E1E6C" w:rsidRDefault="00215F98" w:rsidP="000D1817">
            <w:pPr>
              <w:spacing w:before="60" w:after="60"/>
              <w:rPr>
                <w:rFonts w:ascii="Arial" w:hAnsi="Arial" w:cs="Arial"/>
                <w:sz w:val="22"/>
                <w:szCs w:val="22"/>
              </w:rPr>
            </w:pPr>
            <w:r w:rsidRPr="004E1E6C">
              <w:rPr>
                <w:rFonts w:ascii="Arial" w:hAnsi="Arial" w:cs="Arial"/>
                <w:sz w:val="22"/>
                <w:szCs w:val="22"/>
              </w:rPr>
              <w:t>27/7/2016</w:t>
            </w:r>
          </w:p>
        </w:tc>
        <w:tc>
          <w:tcPr>
            <w:tcW w:w="0" w:type="auto"/>
          </w:tcPr>
          <w:p w14:paraId="7ABA675F" w14:textId="77777777" w:rsidR="00215F98" w:rsidRPr="004E1E6C" w:rsidRDefault="00215F98" w:rsidP="000D1817">
            <w:pPr>
              <w:spacing w:before="60" w:after="60"/>
              <w:rPr>
                <w:rFonts w:ascii="Arial" w:hAnsi="Arial" w:cs="Arial"/>
                <w:sz w:val="22"/>
                <w:szCs w:val="22"/>
              </w:rPr>
            </w:pPr>
            <w:r w:rsidRPr="004E1E6C">
              <w:rPr>
                <w:rFonts w:ascii="Arial" w:hAnsi="Arial" w:cs="Arial"/>
                <w:sz w:val="22"/>
                <w:szCs w:val="22"/>
              </w:rPr>
              <w:t>1.0</w:t>
            </w:r>
          </w:p>
        </w:tc>
        <w:tc>
          <w:tcPr>
            <w:tcW w:w="7316" w:type="dxa"/>
          </w:tcPr>
          <w:p w14:paraId="5C1C9CFF" w14:textId="77777777" w:rsidR="00215F98" w:rsidRPr="004E1E6C" w:rsidRDefault="00215F98" w:rsidP="000D1817">
            <w:pPr>
              <w:spacing w:before="60" w:after="60"/>
              <w:rPr>
                <w:rFonts w:ascii="Arial" w:hAnsi="Arial" w:cs="Arial"/>
                <w:sz w:val="22"/>
                <w:szCs w:val="22"/>
              </w:rPr>
            </w:pPr>
            <w:r w:rsidRPr="004E1E6C">
              <w:rPr>
                <w:rFonts w:ascii="Arial" w:hAnsi="Arial" w:cs="Arial"/>
                <w:sz w:val="22"/>
                <w:szCs w:val="22"/>
              </w:rPr>
              <w:t>Added version control. Amended 4.2.2 and added 4.2.3 to 4.2.6</w:t>
            </w:r>
          </w:p>
        </w:tc>
        <w:tc>
          <w:tcPr>
            <w:tcW w:w="992" w:type="dxa"/>
          </w:tcPr>
          <w:p w14:paraId="50BFDBA5" w14:textId="77777777" w:rsidR="00215F98" w:rsidRPr="004E1E6C" w:rsidRDefault="00215F98" w:rsidP="000D1817">
            <w:pPr>
              <w:spacing w:before="60" w:after="60"/>
              <w:rPr>
                <w:rFonts w:ascii="Arial" w:hAnsi="Arial" w:cs="Arial"/>
                <w:sz w:val="22"/>
                <w:szCs w:val="22"/>
              </w:rPr>
            </w:pPr>
            <w:r w:rsidRPr="004E1E6C">
              <w:rPr>
                <w:rFonts w:ascii="Arial" w:hAnsi="Arial" w:cs="Arial"/>
                <w:sz w:val="22"/>
                <w:szCs w:val="22"/>
              </w:rPr>
              <w:t>NH</w:t>
            </w:r>
          </w:p>
        </w:tc>
      </w:tr>
      <w:tr w:rsidR="00215F98" w:rsidRPr="004E1E6C" w14:paraId="6E5C8A81" w14:textId="77777777" w:rsidTr="000D1817">
        <w:tblPrEx>
          <w:tblCellMar>
            <w:top w:w="0" w:type="dxa"/>
            <w:bottom w:w="0" w:type="dxa"/>
          </w:tblCellMar>
        </w:tblPrEx>
        <w:tc>
          <w:tcPr>
            <w:tcW w:w="0" w:type="auto"/>
          </w:tcPr>
          <w:p w14:paraId="7DF7AD2D" w14:textId="77777777" w:rsidR="00215F98" w:rsidRPr="004E1E6C" w:rsidRDefault="003A5A8A" w:rsidP="000D1817">
            <w:pPr>
              <w:spacing w:before="60" w:after="60"/>
              <w:rPr>
                <w:rFonts w:ascii="Arial" w:hAnsi="Arial" w:cs="Arial"/>
                <w:sz w:val="22"/>
                <w:szCs w:val="22"/>
              </w:rPr>
            </w:pPr>
            <w:r w:rsidRPr="004E1E6C">
              <w:rPr>
                <w:rFonts w:ascii="Arial" w:hAnsi="Arial" w:cs="Arial"/>
                <w:sz w:val="22"/>
                <w:szCs w:val="22"/>
              </w:rPr>
              <w:t>22/12/2017</w:t>
            </w:r>
          </w:p>
        </w:tc>
        <w:tc>
          <w:tcPr>
            <w:tcW w:w="0" w:type="auto"/>
          </w:tcPr>
          <w:p w14:paraId="21BB8E69" w14:textId="77777777" w:rsidR="00215F98" w:rsidRPr="004E1E6C" w:rsidRDefault="003A5A8A" w:rsidP="003A5A8A">
            <w:pPr>
              <w:spacing w:before="60" w:after="60"/>
              <w:rPr>
                <w:rFonts w:ascii="Arial" w:hAnsi="Arial" w:cs="Arial"/>
                <w:sz w:val="22"/>
                <w:szCs w:val="22"/>
              </w:rPr>
            </w:pPr>
            <w:r w:rsidRPr="004E1E6C">
              <w:rPr>
                <w:rFonts w:ascii="Arial" w:hAnsi="Arial" w:cs="Arial"/>
                <w:sz w:val="22"/>
                <w:szCs w:val="22"/>
              </w:rPr>
              <w:t>1.1</w:t>
            </w:r>
          </w:p>
        </w:tc>
        <w:tc>
          <w:tcPr>
            <w:tcW w:w="7316" w:type="dxa"/>
          </w:tcPr>
          <w:p w14:paraId="33531DC0" w14:textId="77777777" w:rsidR="00215F98" w:rsidRPr="004E1E6C" w:rsidRDefault="004E1E6C" w:rsidP="004E1E6C">
            <w:pPr>
              <w:spacing w:beforeLines="40" w:before="96" w:afterLines="40" w:after="96"/>
              <w:ind w:right="894"/>
              <w:rPr>
                <w:rFonts w:ascii="Arial" w:hAnsi="Arial" w:cs="Arial"/>
              </w:rPr>
            </w:pPr>
            <w:r w:rsidRPr="004E1E6C">
              <w:rPr>
                <w:rFonts w:ascii="Arial" w:hAnsi="Arial" w:cs="Arial"/>
                <w:sz w:val="22"/>
                <w:szCs w:val="22"/>
              </w:rPr>
              <w:t xml:space="preserve">Title changed to </w:t>
            </w:r>
            <w:r w:rsidRPr="004E1E6C">
              <w:rPr>
                <w:rFonts w:ascii="Arial" w:hAnsi="Arial" w:cs="Arial"/>
              </w:rPr>
              <w:t xml:space="preserve">Guidance notes on Choice of Comparators. </w:t>
            </w:r>
            <w:r w:rsidR="003A5A8A" w:rsidRPr="004E1E6C">
              <w:rPr>
                <w:rFonts w:ascii="Arial" w:hAnsi="Arial" w:cs="Arial"/>
                <w:sz w:val="22"/>
                <w:szCs w:val="22"/>
              </w:rPr>
              <w:t>Formatting changes. Minor editing to correct spelling. Hyperlinks to external documents added.  Location of document moved to PBR EDMS</w:t>
            </w:r>
            <w:r w:rsidRPr="004E1E6C">
              <w:rPr>
                <w:rFonts w:ascii="Arial" w:hAnsi="Arial" w:cs="Arial"/>
                <w:sz w:val="22"/>
                <w:szCs w:val="22"/>
              </w:rPr>
              <w:t xml:space="preserve"> </w:t>
            </w:r>
          </w:p>
        </w:tc>
        <w:tc>
          <w:tcPr>
            <w:tcW w:w="992" w:type="dxa"/>
          </w:tcPr>
          <w:p w14:paraId="16A90CCB" w14:textId="77777777" w:rsidR="00215F98" w:rsidRPr="004E1E6C" w:rsidRDefault="003A5A8A" w:rsidP="000D1817">
            <w:pPr>
              <w:spacing w:before="60" w:after="60"/>
              <w:rPr>
                <w:rFonts w:ascii="Arial" w:hAnsi="Arial" w:cs="Arial"/>
                <w:sz w:val="22"/>
                <w:szCs w:val="22"/>
              </w:rPr>
            </w:pPr>
            <w:r w:rsidRPr="004E1E6C">
              <w:rPr>
                <w:rFonts w:ascii="Arial" w:hAnsi="Arial" w:cs="Arial"/>
                <w:sz w:val="22"/>
                <w:szCs w:val="22"/>
              </w:rPr>
              <w:t>TH</w:t>
            </w:r>
          </w:p>
        </w:tc>
      </w:tr>
      <w:tr w:rsidR="00215F98" w:rsidRPr="00E627D1" w14:paraId="53923FFC" w14:textId="77777777" w:rsidTr="000D1817">
        <w:tblPrEx>
          <w:tblCellMar>
            <w:top w:w="0" w:type="dxa"/>
            <w:bottom w:w="0" w:type="dxa"/>
          </w:tblCellMar>
        </w:tblPrEx>
        <w:tc>
          <w:tcPr>
            <w:tcW w:w="0" w:type="auto"/>
          </w:tcPr>
          <w:p w14:paraId="6F3A70FE" w14:textId="77777777" w:rsidR="00215F98" w:rsidRPr="00E627D1" w:rsidRDefault="00215F98" w:rsidP="000D1817">
            <w:pPr>
              <w:spacing w:before="60" w:after="60"/>
              <w:rPr>
                <w:rFonts w:ascii="Humnst777 Lt BT" w:hAnsi="Humnst777 Lt BT"/>
                <w:sz w:val="22"/>
                <w:szCs w:val="22"/>
              </w:rPr>
            </w:pPr>
          </w:p>
        </w:tc>
        <w:tc>
          <w:tcPr>
            <w:tcW w:w="0" w:type="auto"/>
          </w:tcPr>
          <w:p w14:paraId="300DC379" w14:textId="77777777" w:rsidR="00215F98" w:rsidRPr="00E627D1" w:rsidRDefault="00215F98" w:rsidP="000D1817">
            <w:pPr>
              <w:spacing w:before="60" w:after="60"/>
              <w:rPr>
                <w:rFonts w:ascii="Humnst777 Lt BT" w:hAnsi="Humnst777 Lt BT"/>
                <w:sz w:val="22"/>
                <w:szCs w:val="22"/>
              </w:rPr>
            </w:pPr>
          </w:p>
        </w:tc>
        <w:tc>
          <w:tcPr>
            <w:tcW w:w="7316" w:type="dxa"/>
          </w:tcPr>
          <w:p w14:paraId="1B10D4E6" w14:textId="77777777" w:rsidR="00215F98" w:rsidRPr="00E627D1" w:rsidRDefault="00215F98" w:rsidP="000D1817">
            <w:pPr>
              <w:spacing w:before="60" w:after="60"/>
              <w:rPr>
                <w:rFonts w:ascii="Humnst777 Lt BT" w:hAnsi="Humnst777 Lt BT"/>
                <w:sz w:val="22"/>
                <w:szCs w:val="22"/>
              </w:rPr>
            </w:pPr>
          </w:p>
        </w:tc>
        <w:tc>
          <w:tcPr>
            <w:tcW w:w="992" w:type="dxa"/>
          </w:tcPr>
          <w:p w14:paraId="6FC42A28" w14:textId="77777777" w:rsidR="00215F98" w:rsidRPr="00E627D1" w:rsidRDefault="00215F98" w:rsidP="000D1817">
            <w:pPr>
              <w:spacing w:before="60" w:after="60"/>
              <w:rPr>
                <w:rFonts w:ascii="Humnst777 Lt BT" w:hAnsi="Humnst777 Lt BT"/>
                <w:sz w:val="22"/>
                <w:szCs w:val="22"/>
              </w:rPr>
            </w:pPr>
          </w:p>
        </w:tc>
      </w:tr>
      <w:tr w:rsidR="00215F98" w:rsidRPr="00E627D1" w14:paraId="11B62D5C" w14:textId="77777777" w:rsidTr="000D1817">
        <w:tblPrEx>
          <w:tblCellMar>
            <w:top w:w="0" w:type="dxa"/>
            <w:bottom w:w="0" w:type="dxa"/>
          </w:tblCellMar>
        </w:tblPrEx>
        <w:tc>
          <w:tcPr>
            <w:tcW w:w="0" w:type="auto"/>
          </w:tcPr>
          <w:p w14:paraId="2CAD7F57" w14:textId="77777777" w:rsidR="00215F98" w:rsidRPr="00E627D1" w:rsidRDefault="00215F98" w:rsidP="000D1817">
            <w:pPr>
              <w:spacing w:before="60" w:after="60"/>
              <w:rPr>
                <w:rFonts w:ascii="Humnst777 Lt BT" w:hAnsi="Humnst777 Lt BT"/>
                <w:sz w:val="22"/>
                <w:szCs w:val="22"/>
              </w:rPr>
            </w:pPr>
          </w:p>
        </w:tc>
        <w:tc>
          <w:tcPr>
            <w:tcW w:w="0" w:type="auto"/>
          </w:tcPr>
          <w:p w14:paraId="16FAE973" w14:textId="77777777" w:rsidR="00215F98" w:rsidRPr="00E627D1" w:rsidRDefault="00215F98" w:rsidP="000D1817">
            <w:pPr>
              <w:spacing w:before="60" w:after="60"/>
              <w:rPr>
                <w:rFonts w:ascii="Humnst777 Lt BT" w:hAnsi="Humnst777 Lt BT"/>
                <w:sz w:val="22"/>
                <w:szCs w:val="22"/>
              </w:rPr>
            </w:pPr>
          </w:p>
        </w:tc>
        <w:tc>
          <w:tcPr>
            <w:tcW w:w="7316" w:type="dxa"/>
          </w:tcPr>
          <w:p w14:paraId="32DAA723" w14:textId="77777777" w:rsidR="00215F98" w:rsidRPr="00E627D1" w:rsidRDefault="00215F98" w:rsidP="000D1817">
            <w:pPr>
              <w:spacing w:before="60" w:after="60"/>
              <w:rPr>
                <w:rFonts w:ascii="Humnst777 Lt BT" w:hAnsi="Humnst777 Lt BT"/>
                <w:sz w:val="22"/>
                <w:szCs w:val="22"/>
              </w:rPr>
            </w:pPr>
          </w:p>
        </w:tc>
        <w:tc>
          <w:tcPr>
            <w:tcW w:w="992" w:type="dxa"/>
          </w:tcPr>
          <w:p w14:paraId="094AB2B3" w14:textId="77777777" w:rsidR="00215F98" w:rsidRPr="00E627D1" w:rsidRDefault="00215F98" w:rsidP="000D1817">
            <w:pPr>
              <w:spacing w:before="60" w:after="60"/>
              <w:rPr>
                <w:rFonts w:ascii="Humnst777 Lt BT" w:hAnsi="Humnst777 Lt BT"/>
                <w:sz w:val="22"/>
                <w:szCs w:val="22"/>
              </w:rPr>
            </w:pPr>
          </w:p>
        </w:tc>
      </w:tr>
    </w:tbl>
    <w:p w14:paraId="14F6DBF8" w14:textId="77777777" w:rsidR="00215F98" w:rsidRDefault="00215F98" w:rsidP="00981F8E">
      <w:pPr>
        <w:jc w:val="right"/>
      </w:pPr>
    </w:p>
    <w:p w14:paraId="5D617FC0" w14:textId="77777777" w:rsidR="00215F98" w:rsidRDefault="00215F98" w:rsidP="00981F8E">
      <w:pPr>
        <w:jc w:val="right"/>
      </w:pPr>
    </w:p>
    <w:p w14:paraId="006ECD9C" w14:textId="77777777" w:rsidR="00F40380" w:rsidRPr="00563B2C" w:rsidRDefault="00981F8E" w:rsidP="00981F8E">
      <w:pPr>
        <w:jc w:val="right"/>
      </w:pPr>
      <w:r>
        <w:t>[end of document]</w:t>
      </w:r>
    </w:p>
    <w:sectPr w:rsidR="00F40380" w:rsidRPr="00563B2C" w:rsidSect="00215F98">
      <w:footerReference w:type="even" r:id="rId15"/>
      <w:footerReference w:type="default" r:id="rId16"/>
      <w:pgSz w:w="11906" w:h="16838"/>
      <w:pgMar w:top="1440" w:right="14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C3837" w14:textId="77777777" w:rsidR="00DE5E23" w:rsidRDefault="00DE5E23">
      <w:r>
        <w:separator/>
      </w:r>
    </w:p>
  </w:endnote>
  <w:endnote w:type="continuationSeparator" w:id="0">
    <w:p w14:paraId="333CBD17" w14:textId="77777777" w:rsidR="00DE5E23" w:rsidRDefault="00DE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Lt BT">
    <w:altName w:val="Calibri"/>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41ED" w14:textId="77777777" w:rsidR="00981F8E" w:rsidRDefault="00981F8E" w:rsidP="007D6A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48E4E9" w14:textId="77777777" w:rsidR="00981F8E" w:rsidRDefault="00981F8E" w:rsidP="007D6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2774" w14:textId="77777777" w:rsidR="00981F8E" w:rsidRDefault="00981F8E" w:rsidP="007D6A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FA772" w14:textId="77777777" w:rsidR="00DE5E23" w:rsidRDefault="00DE5E23">
      <w:r>
        <w:separator/>
      </w:r>
    </w:p>
  </w:footnote>
  <w:footnote w:type="continuationSeparator" w:id="0">
    <w:p w14:paraId="060D4940" w14:textId="77777777" w:rsidR="00DE5E23" w:rsidRDefault="00DE5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B2F"/>
    <w:multiLevelType w:val="multilevel"/>
    <w:tmpl w:val="C6A41F6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6FD4054"/>
    <w:multiLevelType w:val="multilevel"/>
    <w:tmpl w:val="47B2E6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F862AC3"/>
    <w:multiLevelType w:val="hybridMultilevel"/>
    <w:tmpl w:val="688C607C"/>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5903764"/>
    <w:multiLevelType w:val="hybridMultilevel"/>
    <w:tmpl w:val="85CC877C"/>
    <w:lvl w:ilvl="0" w:tplc="0C09000F">
      <w:start w:val="1"/>
      <w:numFmt w:val="decimal"/>
      <w:lvlText w:val="%1."/>
      <w:lvlJc w:val="left"/>
      <w:pPr>
        <w:tabs>
          <w:tab w:val="num" w:pos="1800"/>
        </w:tabs>
        <w:ind w:left="1800" w:hanging="360"/>
      </w:pPr>
      <w:rPr>
        <w:rFonts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5C65312"/>
    <w:multiLevelType w:val="multilevel"/>
    <w:tmpl w:val="34F4BE5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3A9641E"/>
    <w:multiLevelType w:val="multilevel"/>
    <w:tmpl w:val="5CC699C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45AC0A69"/>
    <w:multiLevelType w:val="hybridMultilevel"/>
    <w:tmpl w:val="384E5222"/>
    <w:lvl w:ilvl="0" w:tplc="0C090001">
      <w:start w:val="1"/>
      <w:numFmt w:val="bullet"/>
      <w:lvlText w:val=""/>
      <w:lvlJc w:val="left"/>
      <w:pPr>
        <w:tabs>
          <w:tab w:val="num" w:pos="1080"/>
        </w:tabs>
        <w:ind w:left="1080" w:hanging="360"/>
      </w:pPr>
      <w:rPr>
        <w:rFonts w:ascii="Symbol" w:hAnsi="Symbol" w:hint="default"/>
      </w:rPr>
    </w:lvl>
    <w:lvl w:ilvl="1" w:tplc="0C090019">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7" w15:restartNumberingAfterBreak="0">
    <w:nsid w:val="499463E2"/>
    <w:multiLevelType w:val="multilevel"/>
    <w:tmpl w:val="5E3EF3E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2EC6AC7"/>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ED3462C"/>
    <w:multiLevelType w:val="multilevel"/>
    <w:tmpl w:val="A382626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775754778">
    <w:abstractNumId w:val="8"/>
  </w:num>
  <w:num w:numId="2" w16cid:durableId="1821652296">
    <w:abstractNumId w:val="6"/>
  </w:num>
  <w:num w:numId="3" w16cid:durableId="1120032921">
    <w:abstractNumId w:val="5"/>
  </w:num>
  <w:num w:numId="4" w16cid:durableId="1043675446">
    <w:abstractNumId w:val="0"/>
  </w:num>
  <w:num w:numId="5" w16cid:durableId="395051273">
    <w:abstractNumId w:val="2"/>
  </w:num>
  <w:num w:numId="6" w16cid:durableId="1597716177">
    <w:abstractNumId w:val="4"/>
  </w:num>
  <w:num w:numId="7" w16cid:durableId="926884977">
    <w:abstractNumId w:val="9"/>
  </w:num>
  <w:num w:numId="8" w16cid:durableId="1119879674">
    <w:abstractNumId w:val="7"/>
  </w:num>
  <w:num w:numId="9" w16cid:durableId="154882349">
    <w:abstractNumId w:val="1"/>
  </w:num>
  <w:num w:numId="10" w16cid:durableId="2027634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6A79"/>
    <w:rsid w:val="00044385"/>
    <w:rsid w:val="00044CF8"/>
    <w:rsid w:val="00054A10"/>
    <w:rsid w:val="000C59E2"/>
    <w:rsid w:val="000D1817"/>
    <w:rsid w:val="001143A6"/>
    <w:rsid w:val="00192E76"/>
    <w:rsid w:val="001B1A8F"/>
    <w:rsid w:val="00215F98"/>
    <w:rsid w:val="0021723C"/>
    <w:rsid w:val="0023723A"/>
    <w:rsid w:val="00257992"/>
    <w:rsid w:val="002A7780"/>
    <w:rsid w:val="002B456A"/>
    <w:rsid w:val="002F4C05"/>
    <w:rsid w:val="003078AC"/>
    <w:rsid w:val="00326E46"/>
    <w:rsid w:val="00327E28"/>
    <w:rsid w:val="00371F91"/>
    <w:rsid w:val="003A5A8A"/>
    <w:rsid w:val="003E66B0"/>
    <w:rsid w:val="00451C6C"/>
    <w:rsid w:val="004A0591"/>
    <w:rsid w:val="004C73B5"/>
    <w:rsid w:val="004E1E6C"/>
    <w:rsid w:val="00506876"/>
    <w:rsid w:val="00515EAA"/>
    <w:rsid w:val="00516D49"/>
    <w:rsid w:val="00536333"/>
    <w:rsid w:val="00541581"/>
    <w:rsid w:val="00557000"/>
    <w:rsid w:val="00563B2C"/>
    <w:rsid w:val="00563E94"/>
    <w:rsid w:val="00592CDD"/>
    <w:rsid w:val="00595EA3"/>
    <w:rsid w:val="005B430C"/>
    <w:rsid w:val="005C031D"/>
    <w:rsid w:val="005D60C9"/>
    <w:rsid w:val="00617AAA"/>
    <w:rsid w:val="006A70EC"/>
    <w:rsid w:val="00705636"/>
    <w:rsid w:val="00747A1A"/>
    <w:rsid w:val="00781CF8"/>
    <w:rsid w:val="007D6A79"/>
    <w:rsid w:val="00814F8F"/>
    <w:rsid w:val="00825ED7"/>
    <w:rsid w:val="00835F4B"/>
    <w:rsid w:val="008A71B3"/>
    <w:rsid w:val="008C3AB9"/>
    <w:rsid w:val="009021DA"/>
    <w:rsid w:val="00931A4F"/>
    <w:rsid w:val="00963BCB"/>
    <w:rsid w:val="00981F8E"/>
    <w:rsid w:val="009970C9"/>
    <w:rsid w:val="00A32D6E"/>
    <w:rsid w:val="00A373A6"/>
    <w:rsid w:val="00A435ED"/>
    <w:rsid w:val="00A46A7C"/>
    <w:rsid w:val="00A92E2D"/>
    <w:rsid w:val="00AE360D"/>
    <w:rsid w:val="00B36105"/>
    <w:rsid w:val="00B36817"/>
    <w:rsid w:val="00B6623C"/>
    <w:rsid w:val="00BC134C"/>
    <w:rsid w:val="00BE1C2C"/>
    <w:rsid w:val="00C15A47"/>
    <w:rsid w:val="00C345B0"/>
    <w:rsid w:val="00C76D6A"/>
    <w:rsid w:val="00C816B3"/>
    <w:rsid w:val="00CA1AFC"/>
    <w:rsid w:val="00CB3A71"/>
    <w:rsid w:val="00D727D9"/>
    <w:rsid w:val="00D856C7"/>
    <w:rsid w:val="00D864F6"/>
    <w:rsid w:val="00DE5E23"/>
    <w:rsid w:val="00DF1774"/>
    <w:rsid w:val="00DF63C3"/>
    <w:rsid w:val="00E25CFE"/>
    <w:rsid w:val="00E30F4C"/>
    <w:rsid w:val="00E31D4D"/>
    <w:rsid w:val="00E50E38"/>
    <w:rsid w:val="00ED3C6A"/>
    <w:rsid w:val="00F2256A"/>
    <w:rsid w:val="00F40380"/>
    <w:rsid w:val="00F633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9B1DC45"/>
  <w15:chartTrackingRefBased/>
  <w15:docId w15:val="{E3F024BC-AA72-4B3C-8F50-D80252B4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A79"/>
    <w:rPr>
      <w:rFonts w:eastAsia="Times New Roman"/>
      <w:sz w:val="24"/>
      <w:szCs w:val="24"/>
    </w:rPr>
  </w:style>
  <w:style w:type="paragraph" w:styleId="Heading1">
    <w:name w:val="heading 1"/>
    <w:basedOn w:val="Normal"/>
    <w:next w:val="Normal"/>
    <w:qFormat/>
    <w:rsid w:val="007D6A79"/>
    <w:pPr>
      <w:keepNext/>
      <w:outlineLvl w:val="0"/>
    </w:pPr>
    <w:rPr>
      <w:u w:val="single"/>
      <w:lang w:eastAsia="en-US"/>
    </w:rPr>
  </w:style>
  <w:style w:type="paragraph" w:styleId="Heading3">
    <w:name w:val="heading 3"/>
    <w:basedOn w:val="Normal"/>
    <w:next w:val="Normal"/>
    <w:qFormat/>
    <w:rsid w:val="0023723A"/>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D6A7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rsid w:val="007D6A79"/>
    <w:pPr>
      <w:autoSpaceDE w:val="0"/>
      <w:autoSpaceDN w:val="0"/>
      <w:spacing w:before="90" w:after="180" w:line="300" w:lineRule="atLeast"/>
    </w:pPr>
    <w:rPr>
      <w:rFonts w:ascii="Arial" w:hAnsi="Arial" w:cs="Arial"/>
      <w:color w:val="000000"/>
      <w:sz w:val="22"/>
      <w:szCs w:val="22"/>
    </w:rPr>
  </w:style>
  <w:style w:type="paragraph" w:styleId="Footer">
    <w:name w:val="footer"/>
    <w:basedOn w:val="Normal"/>
    <w:rsid w:val="007D6A79"/>
    <w:pPr>
      <w:tabs>
        <w:tab w:val="center" w:pos="4153"/>
        <w:tab w:val="right" w:pos="8306"/>
      </w:tabs>
    </w:pPr>
  </w:style>
  <w:style w:type="character" w:styleId="PageNumber">
    <w:name w:val="page number"/>
    <w:basedOn w:val="DefaultParagraphFont"/>
    <w:rsid w:val="007D6A79"/>
  </w:style>
  <w:style w:type="paragraph" w:styleId="Header">
    <w:name w:val="header"/>
    <w:basedOn w:val="Normal"/>
    <w:rsid w:val="00981F8E"/>
    <w:pPr>
      <w:tabs>
        <w:tab w:val="center" w:pos="4153"/>
        <w:tab w:val="right" w:pos="8306"/>
      </w:tabs>
    </w:pPr>
  </w:style>
  <w:style w:type="paragraph" w:styleId="BalloonText">
    <w:name w:val="Balloon Text"/>
    <w:basedOn w:val="Normal"/>
    <w:link w:val="BalloonTextChar"/>
    <w:rsid w:val="00AE360D"/>
    <w:rPr>
      <w:rFonts w:ascii="Tahoma" w:hAnsi="Tahoma" w:cs="Tahoma"/>
      <w:sz w:val="16"/>
      <w:szCs w:val="16"/>
    </w:rPr>
  </w:style>
  <w:style w:type="character" w:customStyle="1" w:styleId="BalloonTextChar">
    <w:name w:val="Balloon Text Char"/>
    <w:link w:val="BalloonText"/>
    <w:rsid w:val="00AE360D"/>
    <w:rPr>
      <w:rFonts w:ascii="Tahoma" w:eastAsia="Times New Roman" w:hAnsi="Tahoma" w:cs="Tahoma"/>
      <w:sz w:val="16"/>
      <w:szCs w:val="16"/>
    </w:rPr>
  </w:style>
  <w:style w:type="character" w:styleId="Hyperlink">
    <w:name w:val="Hyperlink"/>
    <w:rsid w:val="003A5A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pov.int/edocs/tgpdocs/en/tgp_4.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pov.int/edocs/tgpdocs/en/tgp_9.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1" Type="http://schemas.openxmlformats.org/officeDocument/2006/relationships/hyperlink" Target="http://www.upov.int/en/publications/tg-rom/tg001/tg_1_3.pdf"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pov.int/edocs/tgpdocs/en/tgp_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2B4161229D7D40915EEE1160F0D9F5" ma:contentTypeVersion="13" ma:contentTypeDescription="Create a new document." ma:contentTypeScope="" ma:versionID="2d43c84f861ddc905c2a3154b5200f40">
  <xsd:schema xmlns:xsd="http://www.w3.org/2001/XMLSchema" xmlns:xs="http://www.w3.org/2001/XMLSchema" xmlns:p="http://schemas.microsoft.com/office/2006/metadata/properties" xmlns:ns2="fc6582b1-29b7-470d-b9d3-a61a1361ac9f" xmlns:ns3="bc1ed932-6f60-498b-891f-5b71a18e2a72" targetNamespace="http://schemas.microsoft.com/office/2006/metadata/properties" ma:root="true" ma:fieldsID="3d15268fb01b2f1339c05c1eedc96261" ns2:_="" ns3:_="">
    <xsd:import namespace="fc6582b1-29b7-470d-b9d3-a61a1361ac9f"/>
    <xsd:import namespace="bc1ed932-6f60-498b-891f-5b71a18e2a72"/>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582b1-29b7-470d-b9d3-a61a1361ac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0406488f-9c96-4a58-861a-36ba68651afb}" ma:internalName="TaxCatchAll" ma:showField="CatchAllData" ma:web="fc6582b1-29b7-470d-b9d3-a61a1361ac9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ed932-6f60-498b-891f-5b71a18e2a72"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00d69b-c4ee-4dab-8955-6fb8aa649365"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5FFE143DCE91409F2332A096F9DC90" ma:contentTypeVersion="12" ma:contentTypeDescription="Create a new document." ma:contentTypeScope="" ma:versionID="460a78fe75ac327573c55a513d687ccf">
  <xsd:schema xmlns:xsd="http://www.w3.org/2001/XMLSchema" xmlns:xs="http://www.w3.org/2001/XMLSchema" xmlns:p="http://schemas.microsoft.com/office/2006/metadata/properties" xmlns:ns2="cb9733f7-a78e-4d08-b143-7c1772d0c663" xmlns:ns3="bf5a2abc-f1c2-4aa6-8abb-5d5dc8620ae2" targetNamespace="http://schemas.microsoft.com/office/2006/metadata/properties" ma:root="true" ma:fieldsID="939a9900abaff2c549d9fb7652e38a26" ns2:_="" ns3:_="">
    <xsd:import namespace="cb9733f7-a78e-4d08-b143-7c1772d0c663"/>
    <xsd:import namespace="bf5a2abc-f1c2-4aa6-8abb-5d5dc8620ae2"/>
    <xsd:element name="properties">
      <xsd:complexType>
        <xsd:sequence>
          <xsd:element name="documentManagement">
            <xsd:complexType>
              <xsd:all>
                <xsd:element ref="ns2:PublishedDate" minOccurs="0"/>
                <xsd:element ref="ns2:IsArchived" minOccurs="0"/>
                <xsd:element ref="ns2:n5ff33d9704040319986cd0e0299f94c" minOccurs="0"/>
                <xsd:element ref="ns3:TaxCatchAll"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733f7-a78e-4d08-b143-7c1772d0c663" elementFormDefault="qualified">
    <xsd:import namespace="http://schemas.microsoft.com/office/2006/documentManagement/types"/>
    <xsd:import namespace="http://schemas.microsoft.com/office/infopath/2007/PartnerControls"/>
    <xsd:element name="PublishedDate" ma:index="4" nillable="true" ma:displayName="Published Date" ma:default="[today]" ma:format="DateOnly" ma:internalName="PublishedDate" ma:readOnly="false">
      <xsd:simpleType>
        <xsd:restriction base="dms:DateTime"/>
      </xsd:simpleType>
    </xsd:element>
    <xsd:element name="IsArchived" ma:index="5" nillable="true" ma:displayName="ReadyForArchive" ma:default="No" ma:format="Dropdown" ma:internalName="IsArchived" ma:readOnly="false">
      <xsd:simpleType>
        <xsd:restriction base="dms:Choice">
          <xsd:enumeration value="Yes"/>
          <xsd:enumeration value="No"/>
          <xsd:enumeration value="In Progress"/>
        </xsd:restriction>
      </xsd:simpleType>
    </xsd:element>
    <xsd:element name="n5ff33d9704040319986cd0e0299f94c" ma:index="12" nillable="true" ma:taxonomy="true" ma:internalName="n5ff33d9704040319986cd0e0299f94c" ma:taxonomyFieldName="Chapter" ma:displayName="Chapter" ma:readOnly="false" ma:fieldId="{75ff33d9-7040-4031-9986-cd0e0299f94c}" ma:sspId="1400d69b-c4ee-4dab-8955-6fb8aa649365" ma:termSetId="6fba1f66-ebd0-4ce1-a84f-d59b60673512"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5a2abc-f1c2-4aa6-8abb-5d5dc8620a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e01e803-c285-4227-8435-e4fc0582b05a}" ma:internalName="TaxCatchAll" ma:showField="CatchAllData" ma:web="bf5a2abc-f1c2-4aa6-8abb-5d5dc8620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f5a2abc-f1c2-4aa6-8abb-5d5dc8620ae2">
      <Value>11</Value>
    </TaxCatchAll>
    <PublishedDate xmlns="cb9733f7-a78e-4d08-b143-7c1772d0c663">2023-06-08T10:28:25+00:00</PublishedDate>
    <IsArchived xmlns="cb9733f7-a78e-4d08-b143-7c1772d0c663">No</IsArchived>
    <n5ff33d9704040319986cd0e0299f94c xmlns="cb9733f7-a78e-4d08-b143-7c1772d0c663">
      <Terms xmlns="http://schemas.microsoft.com/office/infopath/2007/PartnerControls">
        <TermInfo xmlns="http://schemas.microsoft.com/office/infopath/2007/PartnerControls">
          <TermName xmlns="http://schemas.microsoft.com/office/infopath/2007/PartnerControls">5. Part 2 - Dealing With the Application After its Acceptance</TermName>
          <TermId xmlns="http://schemas.microsoft.com/office/infopath/2007/PartnerControls">3df219e3-bef2-4ba3-8c2b-817fce6ef7b7</TermId>
        </TermInfo>
      </Terms>
    </n5ff33d9704040319986cd0e0299f94c>
  </documentManagement>
</p:properties>
</file>

<file path=customXml/itemProps1.xml><?xml version="1.0" encoding="utf-8"?>
<ds:datastoreItem xmlns:ds="http://schemas.openxmlformats.org/officeDocument/2006/customXml" ds:itemID="{05ABD868-4936-4E4A-8661-09217BC49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582b1-29b7-470d-b9d3-a61a1361ac9f"/>
    <ds:schemaRef ds:uri="bc1ed932-6f60-498b-891f-5b71a18e2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0DC7F-F4F6-4928-998A-6BF2B01B013C}">
  <ds:schemaRefs>
    <ds:schemaRef ds:uri="http://schemas.microsoft.com/office/2006/metadata/longProperties"/>
  </ds:schemaRefs>
</ds:datastoreItem>
</file>

<file path=customXml/itemProps3.xml><?xml version="1.0" encoding="utf-8"?>
<ds:datastoreItem xmlns:ds="http://schemas.openxmlformats.org/officeDocument/2006/customXml" ds:itemID="{096B5E7F-F281-427B-8544-34248679EC38}"/>
</file>

<file path=customXml/itemProps4.xml><?xml version="1.0" encoding="utf-8"?>
<ds:datastoreItem xmlns:ds="http://schemas.openxmlformats.org/officeDocument/2006/customXml" ds:itemID="{CA2B8741-2189-4B08-B6E9-ED1E35C59682}">
  <ds:schemaRefs>
    <ds:schemaRef ds:uri="http://schemas.microsoft.com/sharepoint/v3/contenttype/forms"/>
  </ds:schemaRefs>
</ds:datastoreItem>
</file>

<file path=customXml/itemProps5.xml><?xml version="1.0" encoding="utf-8"?>
<ds:datastoreItem xmlns:ds="http://schemas.openxmlformats.org/officeDocument/2006/customXml" ds:itemID="{906844BC-FCBE-4915-92EC-B850BD02D97D}"/>
</file>

<file path=docProps/app.xml><?xml version="1.0" encoding="utf-8"?>
<Properties xmlns="http://schemas.openxmlformats.org/officeDocument/2006/extended-properties" xmlns:vt="http://schemas.openxmlformats.org/officeDocument/2006/docPropsVTypes">
  <Template>Normal</Template>
  <TotalTime>1</TotalTime>
  <Pages>5</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ITEM No:</vt:lpstr>
    </vt:vector>
  </TitlesOfParts>
  <Company>IP Australia</Company>
  <LinksUpToDate>false</LinksUpToDate>
  <CharactersWithSpaces>10703</CharactersWithSpaces>
  <SharedDoc>false</SharedDoc>
  <HLinks>
    <vt:vector size="24" baseType="variant">
      <vt:variant>
        <vt:i4>8126482</vt:i4>
      </vt:variant>
      <vt:variant>
        <vt:i4>12</vt:i4>
      </vt:variant>
      <vt:variant>
        <vt:i4>0</vt:i4>
      </vt:variant>
      <vt:variant>
        <vt:i4>5</vt:i4>
      </vt:variant>
      <vt:variant>
        <vt:lpwstr>http://www.upov.int/edocs/tgpdocs/en/tgp_9.pdf</vt:lpwstr>
      </vt:variant>
      <vt:variant>
        <vt:lpwstr/>
      </vt:variant>
      <vt:variant>
        <vt:i4>7405586</vt:i4>
      </vt:variant>
      <vt:variant>
        <vt:i4>9</vt:i4>
      </vt:variant>
      <vt:variant>
        <vt:i4>0</vt:i4>
      </vt:variant>
      <vt:variant>
        <vt:i4>5</vt:i4>
      </vt:variant>
      <vt:variant>
        <vt:lpwstr>http://www.upov.int/edocs/tgpdocs/en/tgp_4.pdf</vt:lpwstr>
      </vt:variant>
      <vt:variant>
        <vt:lpwstr/>
      </vt:variant>
      <vt:variant>
        <vt:i4>8126482</vt:i4>
      </vt:variant>
      <vt:variant>
        <vt:i4>6</vt:i4>
      </vt:variant>
      <vt:variant>
        <vt:i4>0</vt:i4>
      </vt:variant>
      <vt:variant>
        <vt:i4>5</vt:i4>
      </vt:variant>
      <vt:variant>
        <vt:lpwstr>http://www.upov.int/edocs/tgpdocs/en/tgp_9.pdf</vt:lpwstr>
      </vt:variant>
      <vt:variant>
        <vt:lpwstr/>
      </vt:variant>
      <vt:variant>
        <vt:i4>3211367</vt:i4>
      </vt:variant>
      <vt:variant>
        <vt:i4>3</vt:i4>
      </vt:variant>
      <vt:variant>
        <vt:i4>0</vt:i4>
      </vt:variant>
      <vt:variant>
        <vt:i4>5</vt:i4>
      </vt:variant>
      <vt:variant>
        <vt:lpwstr>http://www.upov.int/en/publications/tg-rom/tg001/tg_1_3.pdf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No:</dc:title>
  <dc:subject/>
  <dc:creator>Doug Waterhouse</dc:creator>
  <cp:keywords/>
  <cp:lastModifiedBy>Jessie Williams</cp:lastModifiedBy>
  <cp:revision>2</cp:revision>
  <dcterms:created xsi:type="dcterms:W3CDTF">2023-06-08T10:27:00Z</dcterms:created>
  <dcterms:modified xsi:type="dcterms:W3CDTF">2023-06-08T10:27:00Z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A220595</vt:lpwstr>
  </property>
  <property fmtid="{D5CDD505-2E9C-101B-9397-08002B2CF9AE}" pid="3" name="Objective-Title">
    <vt:lpwstr>Guidance notes on Choice of Comparators</vt:lpwstr>
  </property>
  <property fmtid="{D5CDD505-2E9C-101B-9397-08002B2CF9AE}" pid="4" name="Objective-Comment">
    <vt:lpwstr/>
  </property>
  <property fmtid="{D5CDD505-2E9C-101B-9397-08002B2CF9AE}" pid="5" name="Objective-CreationStamp">
    <vt:filetime>2018-01-03T05:49:51Z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2018-01-03T05:49:51Z</vt:filetime>
  </property>
  <property fmtid="{D5CDD505-2E9C-101B-9397-08002B2CF9AE}" pid="9" name="Objective-ModificationStamp">
    <vt:filetime>2018-01-03T05:49:51Z</vt:filetime>
  </property>
  <property fmtid="{D5CDD505-2E9C-101B-9397-08002B2CF9AE}" pid="10" name="Objective-Owner">
    <vt:lpwstr>David Watt</vt:lpwstr>
  </property>
  <property fmtid="{D5CDD505-2E9C-101B-9397-08002B2CF9AE}" pid="11" name="Objective-Path">
    <vt:lpwstr>IP Australia:Plant Breeder's Rights:Procedures:</vt:lpwstr>
  </property>
  <property fmtid="{D5CDD505-2E9C-101B-9397-08002B2CF9AE}" pid="12" name="Objective-Parent">
    <vt:lpwstr>Procedures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First version</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display_urn:schemas-microsoft-com:office:office#Editor">
    <vt:lpwstr>Tanvir Hossain</vt:lpwstr>
  </property>
  <property fmtid="{D5CDD505-2E9C-101B-9397-08002B2CF9AE}" pid="21" name="Order">
    <vt:r8>100</vt:r8>
  </property>
  <property fmtid="{D5CDD505-2E9C-101B-9397-08002B2CF9AE}" pid="22" name="display_urn:schemas-microsoft-com:office:office#Author">
    <vt:lpwstr>Doug Waterhouse</vt:lpwstr>
  </property>
  <property fmtid="{D5CDD505-2E9C-101B-9397-08002B2CF9AE}" pid="23" name="_dlc_DocId">
    <vt:lpwstr>7YYV72WWXEWN-2069017938-45</vt:lpwstr>
  </property>
  <property fmtid="{D5CDD505-2E9C-101B-9397-08002B2CF9AE}" pid="24" name="_dlc_DocIdItemGuid">
    <vt:lpwstr>56d59760-0217-4233-ba02-106ea7d6f915</vt:lpwstr>
  </property>
  <property fmtid="{D5CDD505-2E9C-101B-9397-08002B2CF9AE}" pid="25" name="_dlc_DocIdUrl">
    <vt:lpwstr>https://ipagov.sharepoint.com/sites/PlantBreedersRights/_layouts/15/DocIdRedir.aspx?ID=7YYV72WWXEWN-2069017938-45, 7YYV72WWXEWN-2069017938-45</vt:lpwstr>
  </property>
  <property fmtid="{D5CDD505-2E9C-101B-9397-08002B2CF9AE}" pid="26" name="TaxCatchAll">
    <vt:lpwstr/>
  </property>
  <property fmtid="{D5CDD505-2E9C-101B-9397-08002B2CF9AE}" pid="27" name="lcf76f155ced4ddcb4097134ff3c332f">
    <vt:lpwstr/>
  </property>
  <property fmtid="{D5CDD505-2E9C-101B-9397-08002B2CF9AE}" pid="28" name="ContentTypeId">
    <vt:lpwstr>0x010100E15FFE143DCE91409F2332A096F9DC90</vt:lpwstr>
  </property>
  <property fmtid="{D5CDD505-2E9C-101B-9397-08002B2CF9AE}" pid="29" name="xd_Signature">
    <vt:bool>false</vt:bool>
  </property>
  <property fmtid="{D5CDD505-2E9C-101B-9397-08002B2CF9AE}" pid="30" name="xd_ProgID">
    <vt:lpwstr/>
  </property>
  <property fmtid="{D5CDD505-2E9C-101B-9397-08002B2CF9AE}" pid="31" name="_SourceUrl">
    <vt:lpwstr/>
  </property>
  <property fmtid="{D5CDD505-2E9C-101B-9397-08002B2CF9AE}" pid="32" name="_SharedFileIndex">
    <vt:lpwstr/>
  </property>
  <property fmtid="{D5CDD505-2E9C-101B-9397-08002B2CF9AE}" pid="33" name="ComplianceAssetId">
    <vt:lpwstr/>
  </property>
  <property fmtid="{D5CDD505-2E9C-101B-9397-08002B2CF9AE}" pid="34" name="TemplateUrl">
    <vt:lpwstr/>
  </property>
  <property fmtid="{D5CDD505-2E9C-101B-9397-08002B2CF9AE}" pid="35" name="Chapter">
    <vt:lpwstr>11;#5. Part 2 - Dealing With the Application After its Acceptance|3df219e3-bef2-4ba3-8c2b-817fce6ef7b7</vt:lpwstr>
  </property>
  <property fmtid="{D5CDD505-2E9C-101B-9397-08002B2CF9AE}" pid="36" name="_ExtendedDescription">
    <vt:lpwstr/>
  </property>
  <property fmtid="{D5CDD505-2E9C-101B-9397-08002B2CF9AE}" pid="37" name="TriggerFlowInfo">
    <vt:lpwstr/>
  </property>
</Properties>
</file>